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rPr>
      </w:pPr>
      <w:r w:rsidDel="00000000" w:rsidR="00000000" w:rsidRPr="00000000">
        <w:rPr>
          <w:b w:val="1"/>
          <w:sz w:val="20"/>
          <w:szCs w:val="20"/>
          <w:rtl w:val="0"/>
        </w:rPr>
        <w:t xml:space="preserve">World Bank &amp; GWU Sustainable Cities Workshop Series</w:t>
      </w:r>
    </w:p>
    <w:p w:rsidR="00000000" w:rsidDel="00000000" w:rsidP="00000000" w:rsidRDefault="00000000" w:rsidRPr="00000000" w14:paraId="00000002">
      <w:pPr>
        <w:spacing w:after="0" w:lineRule="auto"/>
        <w:jc w:val="center"/>
        <w:rPr>
          <w:b w:val="1"/>
          <w:sz w:val="20"/>
          <w:szCs w:val="20"/>
          <w:highlight w:val="yellow"/>
        </w:rPr>
      </w:pPr>
      <w:r w:rsidDel="00000000" w:rsidR="00000000" w:rsidRPr="00000000">
        <w:rPr>
          <w:b w:val="1"/>
          <w:sz w:val="20"/>
          <w:szCs w:val="20"/>
          <w:rtl w:val="0"/>
        </w:rPr>
        <w:t xml:space="preserve">Workshop 4:</w:t>
      </w:r>
      <w:r w:rsidDel="00000000" w:rsidR="00000000" w:rsidRPr="00000000">
        <w:rPr>
          <w:b w:val="1"/>
          <w:sz w:val="20"/>
          <w:szCs w:val="20"/>
          <w:rtl w:val="0"/>
        </w:rPr>
        <w:t xml:space="preserve"> local environmental externalities</w:t>
      </w:r>
      <w:r w:rsidDel="00000000" w:rsidR="00000000" w:rsidRPr="00000000">
        <w:rPr>
          <w:rtl w:val="0"/>
        </w:rPr>
      </w:r>
    </w:p>
    <w:p w:rsidR="00000000" w:rsidDel="00000000" w:rsidP="00000000" w:rsidRDefault="00000000" w:rsidRPr="00000000" w14:paraId="00000003">
      <w:pPr>
        <w:spacing w:after="0" w:lineRule="auto"/>
        <w:jc w:val="center"/>
        <w:rPr>
          <w:sz w:val="20"/>
          <w:szCs w:val="20"/>
        </w:rPr>
      </w:pPr>
      <w:r w:rsidDel="00000000" w:rsidR="00000000" w:rsidRPr="00000000">
        <w:rPr>
          <w:sz w:val="20"/>
          <w:szCs w:val="20"/>
          <w:rtl w:val="0"/>
        </w:rPr>
        <w:t xml:space="preserve">Thursday April 4, </w:t>
      </w:r>
      <w:r w:rsidDel="00000000" w:rsidR="00000000" w:rsidRPr="00000000">
        <w:rPr>
          <w:sz w:val="20"/>
          <w:szCs w:val="20"/>
          <w:rtl w:val="0"/>
        </w:rPr>
        <w:t xml:space="preserve">2024 - Morning</w:t>
      </w:r>
    </w:p>
    <w:p w:rsidR="00000000" w:rsidDel="00000000" w:rsidP="00000000" w:rsidRDefault="00000000" w:rsidRPr="00000000" w14:paraId="00000004">
      <w:pPr>
        <w:spacing w:after="0" w:lineRule="auto"/>
        <w:jc w:val="center"/>
        <w:rPr>
          <w:sz w:val="20"/>
          <w:szCs w:val="20"/>
        </w:rPr>
      </w:pPr>
      <w:r w:rsidDel="00000000" w:rsidR="00000000" w:rsidRPr="00000000">
        <w:rPr>
          <w:sz w:val="20"/>
          <w:szCs w:val="20"/>
          <w:rtl w:val="0"/>
        </w:rPr>
        <w:t xml:space="preserve">Location: Hybrid-World Bank, </w:t>
      </w:r>
      <w:r w:rsidDel="00000000" w:rsidR="00000000" w:rsidRPr="00000000">
        <w:rPr>
          <w:sz w:val="20"/>
          <w:szCs w:val="20"/>
          <w:rtl w:val="0"/>
        </w:rPr>
        <w:t xml:space="preserve">Room MC4-100</w:t>
      </w:r>
      <w:r w:rsidDel="00000000" w:rsidR="00000000" w:rsidRPr="00000000">
        <w:rPr>
          <w:sz w:val="20"/>
          <w:szCs w:val="20"/>
          <w:rtl w:val="0"/>
        </w:rPr>
        <w:t xml:space="preserve">, 1818 H St NW, Washington, DC</w:t>
      </w:r>
    </w:p>
    <w:p w:rsidR="00000000" w:rsidDel="00000000" w:rsidP="00000000" w:rsidRDefault="00000000" w:rsidRPr="00000000" w14:paraId="00000005">
      <w:pPr>
        <w:spacing w:after="0" w:lineRule="auto"/>
        <w:jc w:val="center"/>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The World Bank – GWU Sustainable Cities workshop brings together academics and development practitioners to present and discuss questions relating to Sustainable Urbanization. Each workshop in the series focuses on a particular topic relating to cities in developing countries. The workshops are hosted by the World Bank (Urban, DRM, Resilience and Land Global Practice) and George Washington University (Institute for International Economic Policy &amp; Department of Economics).</w:t>
      </w:r>
      <w:r w:rsidDel="00000000" w:rsidR="00000000" w:rsidRPr="00000000">
        <w:rPr>
          <w:rtl w:val="0"/>
        </w:rPr>
      </w:r>
    </w:p>
    <w:tbl>
      <w:tblPr>
        <w:tblStyle w:val="Table1"/>
        <w:tblW w:w="90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35.0000000000002"/>
        <w:gridCol w:w="7795"/>
        <w:tblGridChange w:id="0">
          <w:tblGrid>
            <w:gridCol w:w="1235.0000000000002"/>
            <w:gridCol w:w="7795"/>
          </w:tblGrid>
        </w:tblGridChange>
      </w:tblGrid>
      <w:tr>
        <w:trPr>
          <w:cantSplit w:val="0"/>
          <w:trHeight w:val="288.8378906249994"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rPr>
                <w:sz w:val="20"/>
                <w:szCs w:val="20"/>
              </w:rPr>
            </w:pPr>
            <w:r w:rsidDel="00000000" w:rsidR="00000000" w:rsidRPr="00000000">
              <w:rPr>
                <w:sz w:val="20"/>
                <w:szCs w:val="20"/>
                <w:rtl w:val="0"/>
              </w:rPr>
              <w:t xml:space="preserve">8.30-9.00</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Breakfast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rPr>
                <w:sz w:val="20"/>
                <w:szCs w:val="20"/>
              </w:rPr>
            </w:pPr>
            <w:r w:rsidDel="00000000" w:rsidR="00000000" w:rsidRPr="00000000">
              <w:rPr>
                <w:sz w:val="20"/>
                <w:szCs w:val="20"/>
                <w:rtl w:val="0"/>
              </w:rPr>
              <w:t xml:space="preserve">9:00-9:05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rPr>
                <w:b w:val="1"/>
                <w:color w:val="ff0000"/>
                <w:sz w:val="20"/>
                <w:szCs w:val="20"/>
              </w:rPr>
            </w:pPr>
            <w:r w:rsidDel="00000000" w:rsidR="00000000" w:rsidRPr="00000000">
              <w:rPr>
                <w:sz w:val="20"/>
                <w:szCs w:val="20"/>
                <w:rtl w:val="0"/>
              </w:rPr>
              <w:t xml:space="preserve">Opening Remarks: Remi Jedwab (GWU)</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First </w:t>
            </w:r>
            <w:r w:rsidDel="00000000" w:rsidR="00000000" w:rsidRPr="00000000">
              <w:rPr>
                <w:b w:val="1"/>
                <w:sz w:val="20"/>
                <w:szCs w:val="20"/>
                <w:rtl w:val="0"/>
              </w:rPr>
              <w:t xml:space="preserve">session.</w:t>
            </w:r>
            <w:r w:rsidDel="00000000" w:rsidR="00000000" w:rsidRPr="00000000">
              <w:rPr>
                <w:sz w:val="20"/>
                <w:szCs w:val="20"/>
                <w:rtl w:val="0"/>
              </w:rPr>
              <w:t xml:space="preserve"> </w:t>
            </w:r>
          </w:p>
          <w:p w:rsidR="00000000" w:rsidDel="00000000" w:rsidP="00000000" w:rsidRDefault="00000000" w:rsidRPr="00000000" w14:paraId="0000000C">
            <w:pPr>
              <w:rPr>
                <w:b w:val="1"/>
                <w:sz w:val="20"/>
                <w:szCs w:val="20"/>
              </w:rPr>
            </w:pPr>
            <w:r w:rsidDel="00000000" w:rsidR="00000000" w:rsidRPr="00000000">
              <w:rPr>
                <w:sz w:val="20"/>
                <w:szCs w:val="20"/>
                <w:rtl w:val="0"/>
              </w:rPr>
              <w:t xml:space="preserve">Chair: </w:t>
            </w:r>
            <w:r w:rsidDel="00000000" w:rsidR="00000000" w:rsidRPr="00000000">
              <w:rPr>
                <w:sz w:val="20"/>
                <w:szCs w:val="20"/>
                <w:rtl w:val="0"/>
              </w:rPr>
              <w:t xml:space="preserve">Mark Roberts (WB)</w:t>
            </w:r>
            <w:r w:rsidDel="00000000" w:rsidR="00000000" w:rsidRPr="00000000">
              <w:rPr>
                <w:rtl w:val="0"/>
              </w:rPr>
            </w:r>
          </w:p>
        </w:tc>
      </w:tr>
      <w:tr>
        <w:trPr>
          <w:cantSplit w:val="0"/>
          <w:trHeight w:val="2993.828124999999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sz w:val="20"/>
                <w:szCs w:val="20"/>
              </w:rPr>
            </w:pPr>
            <w:r w:rsidDel="00000000" w:rsidR="00000000" w:rsidRPr="00000000">
              <w:rPr>
                <w:sz w:val="20"/>
                <w:szCs w:val="20"/>
                <w:rtl w:val="0"/>
              </w:rPr>
              <w:t xml:space="preserve">9:05-9:25</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9.25-9.30</w:t>
            </w:r>
          </w:p>
          <w:p w:rsidR="00000000" w:rsidDel="00000000" w:rsidP="00000000" w:rsidRDefault="00000000" w:rsidRPr="00000000" w14:paraId="00000010">
            <w:pPr>
              <w:rPr>
                <w:sz w:val="20"/>
                <w:szCs w:val="20"/>
              </w:rPr>
            </w:pPr>
            <w:r w:rsidDel="00000000" w:rsidR="00000000" w:rsidRPr="00000000">
              <w:rPr>
                <w:sz w:val="20"/>
                <w:szCs w:val="20"/>
                <w:rtl w:val="0"/>
              </w:rPr>
              <w:t xml:space="preserve">9.30-9.40</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9.40-10.00</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10.00-10.05</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10.05-10.15</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10.15-10.45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rPr>
                <w:b w:val="1"/>
                <w:sz w:val="20"/>
                <w:szCs w:val="20"/>
              </w:rPr>
            </w:pPr>
            <w:r w:rsidDel="00000000" w:rsidR="00000000" w:rsidRPr="00000000">
              <w:rPr>
                <w:sz w:val="20"/>
                <w:szCs w:val="20"/>
                <w:rtl w:val="0"/>
              </w:rPr>
              <w:t xml:space="preserve">Policy talk: Chandan Deuskar and Jane Park (WB) “</w:t>
            </w:r>
            <w:hyperlink r:id="rId7">
              <w:r w:rsidDel="00000000" w:rsidR="00000000" w:rsidRPr="00000000">
                <w:rPr>
                  <w:i w:val="1"/>
                  <w:color w:val="1155cc"/>
                  <w:sz w:val="20"/>
                  <w:szCs w:val="20"/>
                  <w:u w:val="single"/>
                  <w:rtl w:val="0"/>
                </w:rPr>
                <w:t xml:space="preserve">Unlivable: What the Urban Heat Island Effect Means for East Asia’s cities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Discussant: </w:t>
            </w:r>
            <w:r w:rsidDel="00000000" w:rsidR="00000000" w:rsidRPr="00000000">
              <w:rPr>
                <w:sz w:val="20"/>
                <w:szCs w:val="20"/>
                <w:rtl w:val="0"/>
              </w:rPr>
              <w:t xml:space="preserve">Luis Quintero (JHU)</w:t>
            </w:r>
          </w:p>
          <w:p w:rsidR="00000000" w:rsidDel="00000000" w:rsidP="00000000" w:rsidRDefault="00000000" w:rsidRPr="00000000" w14:paraId="0000001B">
            <w:pPr>
              <w:rPr>
                <w:sz w:val="20"/>
                <w:szCs w:val="20"/>
              </w:rPr>
            </w:pPr>
            <w:r w:rsidDel="00000000" w:rsidR="00000000" w:rsidRPr="00000000">
              <w:rPr>
                <w:sz w:val="20"/>
                <w:szCs w:val="20"/>
                <w:rtl w:val="0"/>
              </w:rPr>
              <w:t xml:space="preserve">Q&amp;A</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sz w:val="20"/>
                <w:szCs w:val="20"/>
                <w:rtl w:val="0"/>
              </w:rPr>
              <w:t xml:space="preserve">Research talk: Tridevi Chakma (PhD Candidate at the Harvard Kennedy School): “</w:t>
            </w:r>
            <w:hyperlink r:id="rId8">
              <w:r w:rsidDel="00000000" w:rsidR="00000000" w:rsidRPr="00000000">
                <w:rPr>
                  <w:i w:val="1"/>
                  <w:color w:val="1155cc"/>
                  <w:sz w:val="20"/>
                  <w:szCs w:val="20"/>
                  <w:u w:val="single"/>
                  <w:rtl w:val="0"/>
                </w:rPr>
                <w:t xml:space="preserve">The Causes and Consequences of Urban Heat Islands</w:t>
              </w:r>
            </w:hyperlink>
            <w:r w:rsidDel="00000000" w:rsidR="00000000" w:rsidRPr="00000000">
              <w:rPr>
                <w:sz w:val="20"/>
                <w:szCs w:val="20"/>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01E">
            <w:pPr>
              <w:rPr>
                <w:color w:val="ff0000"/>
                <w:sz w:val="20"/>
                <w:szCs w:val="20"/>
              </w:rPr>
            </w:pPr>
            <w:r w:rsidDel="00000000" w:rsidR="00000000" w:rsidRPr="00000000">
              <w:rPr>
                <w:sz w:val="20"/>
                <w:szCs w:val="20"/>
                <w:rtl w:val="0"/>
              </w:rPr>
              <w:t xml:space="preserve">Discussant: Nicholas Jones (Data Scientist at the Global Facility for Disaster Reduction and Recovery)</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sz w:val="20"/>
                <w:szCs w:val="20"/>
                <w:rtl w:val="0"/>
              </w:rPr>
              <w:t xml:space="preserve">Q&amp;A</w:t>
            </w: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Coffee</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2">
            <w:pPr>
              <w:rPr>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Second session</w:t>
            </w:r>
          </w:p>
          <w:p w:rsidR="00000000" w:rsidDel="00000000" w:rsidP="00000000" w:rsidRDefault="00000000" w:rsidRPr="00000000" w14:paraId="00000024">
            <w:pPr>
              <w:rPr>
                <w:b w:val="1"/>
                <w:sz w:val="20"/>
                <w:szCs w:val="20"/>
              </w:rPr>
            </w:pPr>
            <w:r w:rsidDel="00000000" w:rsidR="00000000" w:rsidRPr="00000000">
              <w:rPr>
                <w:sz w:val="20"/>
                <w:szCs w:val="20"/>
                <w:rtl w:val="0"/>
              </w:rPr>
              <w:t xml:space="preserve">Chair: Tanner Regan (GWU </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rPr>
                <w:sz w:val="20"/>
                <w:szCs w:val="20"/>
              </w:rPr>
            </w:pPr>
            <w:r w:rsidDel="00000000" w:rsidR="00000000" w:rsidRPr="00000000">
              <w:rPr>
                <w:sz w:val="20"/>
                <w:szCs w:val="20"/>
                <w:rtl w:val="0"/>
              </w:rPr>
              <w:t xml:space="preserve">10.45-11.05</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11.05-11.10</w:t>
            </w:r>
          </w:p>
          <w:p w:rsidR="00000000" w:rsidDel="00000000" w:rsidP="00000000" w:rsidRDefault="00000000" w:rsidRPr="00000000" w14:paraId="00000028">
            <w:pPr>
              <w:rPr>
                <w:sz w:val="20"/>
                <w:szCs w:val="20"/>
              </w:rPr>
            </w:pPr>
            <w:r w:rsidDel="00000000" w:rsidR="00000000" w:rsidRPr="00000000">
              <w:rPr>
                <w:sz w:val="20"/>
                <w:szCs w:val="20"/>
                <w:rtl w:val="0"/>
              </w:rPr>
              <w:t xml:space="preserve">11.10-11.20</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11.20-11.50</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11:50-12.05</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sz w:val="20"/>
                <w:szCs w:val="20"/>
                <w:rtl w:val="0"/>
              </w:rPr>
              <w:t xml:space="preserve">12:05-12:10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rPr>
                <w:i w:val="1"/>
                <w:sz w:val="20"/>
                <w:szCs w:val="20"/>
              </w:rPr>
            </w:pPr>
            <w:r w:rsidDel="00000000" w:rsidR="00000000" w:rsidRPr="00000000">
              <w:rPr>
                <w:sz w:val="20"/>
                <w:szCs w:val="20"/>
                <w:rtl w:val="0"/>
              </w:rPr>
              <w:t xml:space="preserve">Research talk: Bridget Hoffmann (Inter-American Development Bank) </w:t>
            </w:r>
            <w:r w:rsidDel="00000000" w:rsidR="00000000" w:rsidRPr="00000000">
              <w:rPr>
                <w:i w:val="1"/>
                <w:sz w:val="20"/>
                <w:szCs w:val="20"/>
                <w:rtl w:val="0"/>
              </w:rPr>
              <w:t xml:space="preserve">“</w:t>
            </w:r>
            <w:hyperlink r:id="rId9">
              <w:r w:rsidDel="00000000" w:rsidR="00000000" w:rsidRPr="00000000">
                <w:rPr>
                  <w:i w:val="1"/>
                  <w:color w:val="1155cc"/>
                  <w:sz w:val="20"/>
                  <w:szCs w:val="20"/>
                  <w:u w:val="single"/>
                  <w:rtl w:val="0"/>
                </w:rPr>
                <w:t xml:space="preserve">The Power of Perception: Limitations of Information in Reducing Air Pollution Exposure</w:t>
              </w:r>
            </w:hyperlink>
            <w:r w:rsidDel="00000000" w:rsidR="00000000" w:rsidRPr="00000000">
              <w:rPr>
                <w:i w:val="1"/>
                <w:sz w:val="20"/>
                <w:szCs w:val="20"/>
                <w:rtl w:val="0"/>
              </w:rPr>
              <w:t xml:space="preserv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30">
            <w:pPr>
              <w:rPr>
                <w:b w:val="1"/>
                <w:color w:val="ff0000"/>
                <w:sz w:val="20"/>
                <w:szCs w:val="20"/>
              </w:rPr>
            </w:pPr>
            <w:r w:rsidDel="00000000" w:rsidR="00000000" w:rsidRPr="00000000">
              <w:rPr>
                <w:sz w:val="20"/>
                <w:szCs w:val="20"/>
                <w:rtl w:val="0"/>
              </w:rPr>
              <w:t xml:space="preserve">Discussant: Lutz Sager (Georgetown) </w:t>
            </w: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sz w:val="20"/>
                <w:szCs w:val="20"/>
                <w:rtl w:val="0"/>
              </w:rPr>
              <w:t xml:space="preserve">Q&amp;A</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Keynote talk: Koichiro Ito (Associate Professor at Harris School of Public Policy at University of Chicago) “</w:t>
            </w:r>
            <w:r w:rsidDel="00000000" w:rsidR="00000000" w:rsidRPr="00000000">
              <w:rPr>
                <w:i w:val="1"/>
                <w:sz w:val="20"/>
                <w:szCs w:val="20"/>
                <w:rtl w:val="0"/>
              </w:rPr>
              <w:t xml:space="preserve">Local Environmental Externalities</w:t>
            </w:r>
            <w:r w:rsidDel="00000000" w:rsidR="00000000" w:rsidRPr="00000000">
              <w:rPr>
                <w:sz w:val="20"/>
                <w:szCs w:val="20"/>
                <w:rtl w:val="0"/>
              </w:rPr>
              <w:t xml:space="preserve">”</w:t>
            </w:r>
          </w:p>
          <w:p w:rsidR="00000000" w:rsidDel="00000000" w:rsidP="00000000" w:rsidRDefault="00000000" w:rsidRPr="00000000" w14:paraId="00000034">
            <w:pPr>
              <w:rPr>
                <w:sz w:val="20"/>
                <w:szCs w:val="20"/>
              </w:rPr>
            </w:pPr>
            <w:r w:rsidDel="00000000" w:rsidR="00000000" w:rsidRPr="00000000">
              <w:rPr>
                <w:sz w:val="20"/>
                <w:szCs w:val="20"/>
                <w:rtl w:val="0"/>
              </w:rPr>
              <w:t xml:space="preserve">Q&amp;A</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b w:val="1"/>
                <w:color w:val="ff0000"/>
                <w:sz w:val="20"/>
                <w:szCs w:val="20"/>
              </w:rPr>
            </w:pPr>
            <w:r w:rsidDel="00000000" w:rsidR="00000000" w:rsidRPr="00000000">
              <w:rPr>
                <w:sz w:val="20"/>
                <w:szCs w:val="20"/>
                <w:rtl w:val="0"/>
              </w:rPr>
              <w:t xml:space="preserve">Closing Remarks: Nancy Lozano (WB)</w:t>
            </w:r>
            <w:r w:rsidDel="00000000" w:rsidR="00000000" w:rsidRPr="00000000">
              <w:rPr>
                <w:b w:val="1"/>
                <w:sz w:val="20"/>
                <w:szCs w:val="20"/>
                <w:rtl w:val="0"/>
              </w:rPr>
              <w:t xml:space="preserve"> </w:t>
            </w:r>
            <w:r w:rsidDel="00000000" w:rsidR="00000000" w:rsidRPr="00000000">
              <w:rPr>
                <w:rtl w:val="0"/>
              </w:rPr>
            </w:r>
          </w:p>
        </w:tc>
      </w:tr>
      <w:tr>
        <w:trPr>
          <w:cantSplit w:val="0"/>
          <w:trHeight w:val="3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From 12:10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rPr>
                <w:sz w:val="20"/>
                <w:szCs w:val="20"/>
              </w:rPr>
            </w:pPr>
            <w:r w:rsidDel="00000000" w:rsidR="00000000" w:rsidRPr="00000000">
              <w:rPr>
                <w:b w:val="1"/>
                <w:sz w:val="20"/>
                <w:szCs w:val="20"/>
                <w:rtl w:val="0"/>
              </w:rPr>
              <w:t xml:space="preserve">Lunch </w:t>
            </w:r>
            <w:r w:rsidDel="00000000" w:rsidR="00000000" w:rsidRPr="00000000">
              <w:rPr>
                <w:sz w:val="20"/>
                <w:szCs w:val="20"/>
                <w:rtl w:val="0"/>
              </w:rPr>
              <w:t xml:space="preserve">at the World Bank (open to all)</w:t>
            </w:r>
          </w:p>
        </w:tc>
      </w:tr>
    </w:tbl>
    <w:p w:rsidR="00000000" w:rsidDel="00000000" w:rsidP="00000000" w:rsidRDefault="00000000" w:rsidRPr="00000000" w14:paraId="00000039">
      <w:pPr>
        <w:spacing w:after="0" w:lineRule="auto"/>
        <w:ind w:left="0" w:firstLine="0"/>
        <w:jc w:val="both"/>
        <w:rPr/>
      </w:pPr>
      <w:r w:rsidDel="00000000" w:rsidR="00000000" w:rsidRPr="00000000">
        <w:rPr/>
        <w:drawing>
          <wp:inline distB="0" distT="0" distL="0" distR="0">
            <wp:extent cx="5734050" cy="1001982"/>
            <wp:effectExtent b="0" l="0" r="0" t="0"/>
            <wp:docPr descr="Text&#10;&#10;Description automatically generated" id="9" name="image2.png"/>
            <a:graphic>
              <a:graphicData uri="http://schemas.openxmlformats.org/drawingml/2006/picture">
                <pic:pic>
                  <pic:nvPicPr>
                    <pic:cNvPr descr="Text&#10;&#10;Description automatically generated" id="0" name="image2.png"/>
                    <pic:cNvPicPr preferRelativeResize="0"/>
                  </pic:nvPicPr>
                  <pic:blipFill>
                    <a:blip r:embed="rId10"/>
                    <a:srcRect b="0" l="0" r="0" t="0"/>
                    <a:stretch>
                      <a:fillRect/>
                    </a:stretch>
                  </pic:blipFill>
                  <pic:spPr>
                    <a:xfrm>
                      <a:off x="0" y="0"/>
                      <a:ext cx="5734050" cy="1001982"/>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drawing>
          <wp:inline distB="114300" distT="114300" distL="114300" distR="114300">
            <wp:extent cx="1619250" cy="624166"/>
            <wp:effectExtent b="0" l="0" r="0" t="0"/>
            <wp:docPr id="10" name="image1.png"/>
            <a:graphic>
              <a:graphicData uri="http://schemas.openxmlformats.org/drawingml/2006/picture">
                <pic:pic>
                  <pic:nvPicPr>
                    <pic:cNvPr id="0" name="image1.png"/>
                    <pic:cNvPicPr preferRelativeResize="0"/>
                  </pic:nvPicPr>
                  <pic:blipFill>
                    <a:blip r:embed="rId11"/>
                    <a:srcRect b="11142" l="71760" r="0" t="11763"/>
                    <a:stretch>
                      <a:fillRect/>
                    </a:stretch>
                  </pic:blipFill>
                  <pic:spPr>
                    <a:xfrm>
                      <a:off x="0" y="0"/>
                      <a:ext cx="1619250" cy="624166"/>
                    </a:xfrm>
                    <a:prstGeom prst="rect"/>
                    <a:ln/>
                  </pic:spPr>
                </pic:pic>
              </a:graphicData>
            </a:graphic>
          </wp:inline>
        </w:drawing>
      </w:r>
      <w:r w:rsidDel="00000000" w:rsidR="00000000" w:rsidRPr="00000000">
        <w:rPr/>
        <w:drawing>
          <wp:inline distB="114300" distT="114300" distL="114300" distR="114300">
            <wp:extent cx="3871913" cy="765482"/>
            <wp:effectExtent b="0" l="0" r="0" t="0"/>
            <wp:docPr id="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871913" cy="765482"/>
                    </a:xfrm>
                    <a:prstGeom prst="rect"/>
                    <a:ln/>
                  </pic:spPr>
                </pic:pic>
              </a:graphicData>
            </a:graphic>
          </wp:inline>
        </w:drawing>
      </w: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20C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3A2F7C"/>
    <w:rPr>
      <w:color w:val="0000ff"/>
      <w:u w:val="single"/>
    </w:rPr>
  </w:style>
  <w:style w:type="character" w:styleId="CommentReference">
    <w:name w:val="annotation reference"/>
    <w:basedOn w:val="DefaultParagraphFont"/>
    <w:uiPriority w:val="99"/>
    <w:semiHidden w:val="1"/>
    <w:unhideWhenUsed w:val="1"/>
    <w:rsid w:val="007E5A09"/>
    <w:rPr>
      <w:sz w:val="16"/>
      <w:szCs w:val="16"/>
    </w:rPr>
  </w:style>
  <w:style w:type="paragraph" w:styleId="CommentText">
    <w:name w:val="annotation text"/>
    <w:basedOn w:val="Normal"/>
    <w:link w:val="CommentTextChar"/>
    <w:uiPriority w:val="99"/>
    <w:unhideWhenUsed w:val="1"/>
    <w:rsid w:val="007E5A09"/>
    <w:pPr>
      <w:spacing w:line="240" w:lineRule="auto"/>
    </w:pPr>
    <w:rPr>
      <w:sz w:val="20"/>
      <w:szCs w:val="20"/>
    </w:rPr>
  </w:style>
  <w:style w:type="character" w:styleId="CommentTextChar" w:customStyle="1">
    <w:name w:val="Comment Text Char"/>
    <w:basedOn w:val="DefaultParagraphFont"/>
    <w:link w:val="CommentText"/>
    <w:uiPriority w:val="99"/>
    <w:rsid w:val="007E5A09"/>
    <w:rPr>
      <w:sz w:val="20"/>
      <w:szCs w:val="20"/>
    </w:rPr>
  </w:style>
  <w:style w:type="paragraph" w:styleId="CommentSubject">
    <w:name w:val="annotation subject"/>
    <w:basedOn w:val="CommentText"/>
    <w:next w:val="CommentText"/>
    <w:link w:val="CommentSubjectChar"/>
    <w:uiPriority w:val="99"/>
    <w:semiHidden w:val="1"/>
    <w:unhideWhenUsed w:val="1"/>
    <w:rsid w:val="007E5A09"/>
    <w:rPr>
      <w:b w:val="1"/>
      <w:bCs w:val="1"/>
    </w:rPr>
  </w:style>
  <w:style w:type="character" w:styleId="CommentSubjectChar" w:customStyle="1">
    <w:name w:val="Comment Subject Char"/>
    <w:basedOn w:val="CommentTextChar"/>
    <w:link w:val="CommentSubject"/>
    <w:uiPriority w:val="99"/>
    <w:semiHidden w:val="1"/>
    <w:rsid w:val="007E5A09"/>
    <w:rPr>
      <w:b w:val="1"/>
      <w:bCs w:val="1"/>
      <w:sz w:val="20"/>
      <w:szCs w:val="20"/>
    </w:rPr>
  </w:style>
  <w:style w:type="paragraph" w:styleId="ListParagraph">
    <w:name w:val="List Paragraph"/>
    <w:basedOn w:val="Normal"/>
    <w:uiPriority w:val="34"/>
    <w:qFormat w:val="1"/>
    <w:rsid w:val="00F03BB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ks.harvard.edu/publications/power-perception-limitations-information-reducing-air-pollution-exposur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orldbank.org/en/region/eap/publication/unlivable-what-the-urban-heat-island-effect-means-for-east-asia-s-cities" TargetMode="External"/><Relationship Id="rId8" Type="http://schemas.openxmlformats.org/officeDocument/2006/relationships/hyperlink" Target="https://tridevichakma.com/assets/pdf/Chakma_JMP_urban_heat_is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7UBDJDtuFJkwhmBcx7D+lezj/Q==">CgMxLjA4AHIhMXdTSFRKOE5zbU5OdHA2eXpTcUdLWXBGaldRVWFTakVV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2022-08-15T17:43:00Z</dcterms:created>
  <dc:creator>Tanner Regan</dc:creator>
</cp:coreProperties>
</file>