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World Bank &amp; GWU Sustainable Cities Workshop Series</w:t>
      </w:r>
    </w:p>
    <w:p w:rsidR="00000000" w:rsidDel="00000000" w:rsidP="00000000" w:rsidRDefault="00000000" w:rsidRPr="00000000" w14:paraId="00000002">
      <w:pPr>
        <w:jc w:val="center"/>
        <w:rPr>
          <w:sz w:val="20"/>
          <w:szCs w:val="20"/>
        </w:rPr>
      </w:pPr>
      <w:r w:rsidDel="00000000" w:rsidR="00000000" w:rsidRPr="00000000">
        <w:rPr>
          <w:b w:val="1"/>
          <w:sz w:val="28"/>
          <w:szCs w:val="28"/>
          <w:rtl w:val="0"/>
        </w:rPr>
        <w:t xml:space="preserve">Workshop 1: Urban Public Finance and Governance</w:t>
      </w: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Friday, March 10, 2023</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Location: Hybrid-World Bank I Building, Room I5-040, Washington, DC</w:t>
      </w:r>
    </w:p>
    <w:p w:rsidR="00000000" w:rsidDel="00000000" w:rsidP="00000000" w:rsidRDefault="00000000" w:rsidRPr="00000000" w14:paraId="00000005">
      <w:pPr>
        <w:jc w:val="cente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The World Bank – GWU Sustainable Cities workshop brings together academics and development practitioners to present and discuss questions relating to Sustainable Urbanization. Each workshop in the series focuses on a particular topic relating to cities in developing countries. The workshops are hosted by the World Bank (Urban, DRM, Resilience and Land Global Practice) and George Washington University (Institute for International Economic Policy).</w:t>
      </w:r>
    </w:p>
    <w:p w:rsidR="00000000" w:rsidDel="00000000" w:rsidP="00000000" w:rsidRDefault="00000000" w:rsidRPr="00000000" w14:paraId="00000007">
      <w:pPr>
        <w:rPr>
          <w:b w:val="1"/>
          <w:sz w:val="20"/>
          <w:szCs w:val="20"/>
        </w:rPr>
      </w:pPr>
      <w:r w:rsidDel="00000000" w:rsidR="00000000" w:rsidRPr="00000000">
        <w:rPr>
          <w:rtl w:val="0"/>
        </w:rPr>
      </w:r>
    </w:p>
    <w:tbl>
      <w:tblPr>
        <w:tblStyle w:val="Table1"/>
        <w:tblW w:w="9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70"/>
        <w:gridCol w:w="7640"/>
        <w:tblGridChange w:id="0">
          <w:tblGrid>
            <w:gridCol w:w="1670"/>
            <w:gridCol w:w="7640"/>
          </w:tblGrid>
        </w:tblGridChange>
      </w:tblGrid>
      <w:tr>
        <w:trPr>
          <w:cantSplit w:val="0"/>
          <w:trHeight w:val="949.9999999999998" w:hRule="atLeast"/>
          <w:tblHeader w:val="0"/>
        </w:trPr>
        <w:tc>
          <w:tcPr>
            <w:tcBorders>
              <w:top w:color="606060" w:space="0" w:sz="8" w:val="single"/>
              <w:left w:color="606060" w:space="0" w:sz="8" w:val="single"/>
              <w:bottom w:color="606060" w:space="0" w:sz="8" w:val="single"/>
              <w:right w:color="606060" w:space="0" w:sz="8" w:val="single"/>
            </w:tcBorders>
            <w:tcMar>
              <w:top w:w="100.0" w:type="dxa"/>
              <w:left w:w="100.0" w:type="dxa"/>
              <w:bottom w:w="100.0" w:type="dxa"/>
              <w:right w:w="100.0" w:type="dxa"/>
            </w:tcMar>
            <w:vAlign w:val="top"/>
          </w:tcPr>
          <w:p w:rsidR="00000000" w:rsidDel="00000000" w:rsidP="00000000" w:rsidRDefault="00000000" w:rsidRPr="00000000" w14:paraId="00000008">
            <w:pPr>
              <w:rPr>
                <w:sz w:val="20"/>
                <w:szCs w:val="20"/>
              </w:rPr>
            </w:pPr>
            <w:r w:rsidDel="00000000" w:rsidR="00000000" w:rsidRPr="00000000">
              <w:rPr>
                <w:sz w:val="20"/>
                <w:szCs w:val="20"/>
                <w:rtl w:val="0"/>
              </w:rPr>
              <w:t xml:space="preserve">9:00-9:05</w:t>
            </w:r>
            <w:r w:rsidDel="00000000" w:rsidR="00000000" w:rsidRPr="00000000">
              <w:rPr>
                <w:rtl w:val="0"/>
              </w:rPr>
            </w:r>
          </w:p>
        </w:tc>
        <w:tc>
          <w:tcPr>
            <w:tcBorders>
              <w:top w:color="606060" w:space="0" w:sz="8" w:val="single"/>
              <w:left w:color="606060" w:space="0" w:sz="8" w:val="single"/>
              <w:bottom w:color="606060" w:space="0" w:sz="8" w:val="single"/>
              <w:right w:color="606060" w:space="0" w:sz="8" w:val="single"/>
            </w:tcBorders>
            <w:tcMar>
              <w:top w:w="100.0" w:type="dxa"/>
              <w:left w:w="100.0" w:type="dxa"/>
              <w:bottom w:w="100.0" w:type="dxa"/>
              <w:right w:w="100.0" w:type="dxa"/>
            </w:tcMar>
            <w:vAlign w:val="top"/>
          </w:tcPr>
          <w:p w:rsidR="00000000" w:rsidDel="00000000" w:rsidP="00000000" w:rsidRDefault="00000000" w:rsidRPr="00000000" w14:paraId="00000009">
            <w:pPr>
              <w:rPr>
                <w:sz w:val="20"/>
                <w:szCs w:val="20"/>
              </w:rPr>
            </w:pPr>
            <w:r w:rsidDel="00000000" w:rsidR="00000000" w:rsidRPr="00000000">
              <w:rPr>
                <w:b w:val="1"/>
                <w:sz w:val="20"/>
                <w:szCs w:val="20"/>
                <w:rtl w:val="0"/>
              </w:rPr>
              <w:t xml:space="preserve">Opening Session</w:t>
            </w:r>
            <w:r w:rsidDel="00000000" w:rsidR="00000000" w:rsidRPr="00000000">
              <w:rPr>
                <w:sz w:val="20"/>
                <w:szCs w:val="20"/>
                <w:rtl w:val="0"/>
              </w:rPr>
              <w:t xml:space="preserve">, Chair: Megha Mukim (WB-GPURL)</w:t>
            </w:r>
          </w:p>
          <w:p w:rsidR="00000000" w:rsidDel="00000000" w:rsidP="00000000" w:rsidRDefault="00000000" w:rsidRPr="00000000" w14:paraId="0000000A">
            <w:pPr>
              <w:rPr>
                <w:sz w:val="20"/>
                <w:szCs w:val="20"/>
              </w:rPr>
            </w:pPr>
            <w:r w:rsidDel="00000000" w:rsidR="00000000" w:rsidRPr="00000000">
              <w:rPr>
                <w:sz w:val="20"/>
                <w:szCs w:val="20"/>
                <w:rtl w:val="0"/>
              </w:rPr>
              <w:t xml:space="preserve">Opening Remarks, Nancy Lozano Gracia (WB-SLCDR) &amp; Mark Roberts (WB-GPURL)</w:t>
            </w:r>
            <w:r w:rsidDel="00000000" w:rsidR="00000000" w:rsidRPr="00000000">
              <w:rPr>
                <w:rtl w:val="0"/>
              </w:rPr>
            </w:r>
          </w:p>
        </w:tc>
      </w:tr>
      <w:tr>
        <w:trPr>
          <w:cantSplit w:val="0"/>
          <w:trHeight w:val="725" w:hRule="atLeast"/>
          <w:tblHeader w:val="0"/>
        </w:trPr>
        <w:tc>
          <w:tcPr>
            <w:tcBorders>
              <w:top w:color="606060" w:space="0" w:sz="8" w:val="single"/>
              <w:left w:color="606060" w:space="0" w:sz="8" w:val="single"/>
              <w:bottom w:color="606060" w:space="0" w:sz="8" w:val="single"/>
              <w:right w:color="606060" w:space="0" w:sz="8" w:val="single"/>
            </w:tcBorders>
            <w:tcMar>
              <w:top w:w="100.0" w:type="dxa"/>
              <w:left w:w="100.0" w:type="dxa"/>
              <w:bottom w:w="100.0" w:type="dxa"/>
              <w:right w:w="100.0" w:type="dxa"/>
            </w:tcMar>
            <w:vAlign w:val="top"/>
          </w:tcPr>
          <w:p w:rsidR="00000000" w:rsidDel="00000000" w:rsidP="00000000" w:rsidRDefault="00000000" w:rsidRPr="00000000" w14:paraId="0000000B">
            <w:pPr>
              <w:rPr>
                <w:sz w:val="20"/>
                <w:szCs w:val="20"/>
              </w:rPr>
            </w:pPr>
            <w:r w:rsidDel="00000000" w:rsidR="00000000" w:rsidRPr="00000000">
              <w:rPr>
                <w:sz w:val="20"/>
                <w:szCs w:val="20"/>
                <w:rtl w:val="0"/>
              </w:rPr>
              <w:t xml:space="preserve">9:05-9:35</w:t>
            </w:r>
            <w:r w:rsidDel="00000000" w:rsidR="00000000" w:rsidRPr="00000000">
              <w:rPr>
                <w:rtl w:val="0"/>
              </w:rPr>
            </w:r>
          </w:p>
        </w:tc>
        <w:tc>
          <w:tcPr>
            <w:tcBorders>
              <w:top w:color="606060" w:space="0" w:sz="8" w:val="single"/>
              <w:left w:color="606060" w:space="0" w:sz="8" w:val="single"/>
              <w:bottom w:color="606060" w:space="0" w:sz="8" w:val="single"/>
              <w:right w:color="606060" w:space="0" w:sz="8" w:val="single"/>
            </w:tcBorders>
            <w:tcMar>
              <w:top w:w="100.0" w:type="dxa"/>
              <w:left w:w="100.0" w:type="dxa"/>
              <w:bottom w:w="100.0" w:type="dxa"/>
              <w:right w:w="100.0" w:type="dxa"/>
            </w:tcMar>
            <w:vAlign w:val="top"/>
          </w:tcPr>
          <w:p w:rsidR="00000000" w:rsidDel="00000000" w:rsidP="00000000" w:rsidRDefault="00000000" w:rsidRPr="00000000" w14:paraId="0000000C">
            <w:pPr>
              <w:rPr>
                <w:sz w:val="20"/>
                <w:szCs w:val="20"/>
                <w:u w:val="single"/>
              </w:rPr>
            </w:pPr>
            <w:r w:rsidDel="00000000" w:rsidR="00000000" w:rsidRPr="00000000">
              <w:rPr>
                <w:sz w:val="20"/>
                <w:szCs w:val="20"/>
                <w:rtl w:val="0"/>
              </w:rPr>
              <w:t xml:space="preserve">Mini-keynote (virtual), </w:t>
            </w:r>
            <w:r w:rsidDel="00000000" w:rsidR="00000000" w:rsidRPr="00000000">
              <w:rPr>
                <w:sz w:val="20"/>
                <w:szCs w:val="20"/>
                <w:u w:val="single"/>
                <w:rtl w:val="0"/>
              </w:rPr>
              <w:t xml:space="preserve">Anne Brockmeyer (IFS/UCL/WB)</w:t>
            </w:r>
          </w:p>
          <w:p w:rsidR="00000000" w:rsidDel="00000000" w:rsidP="00000000" w:rsidRDefault="00000000" w:rsidRPr="00000000" w14:paraId="0000000D">
            <w:pPr>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Urban Public Finance in Developing Countries: the Research Frontier</w:t>
            </w:r>
            <w:r w:rsidDel="00000000" w:rsidR="00000000" w:rsidRPr="00000000">
              <w:rPr>
                <w:sz w:val="20"/>
                <w:szCs w:val="20"/>
                <w:rtl w:val="0"/>
              </w:rPr>
              <w:t xml:space="preserve">”</w:t>
            </w:r>
            <w:r w:rsidDel="00000000" w:rsidR="00000000" w:rsidRPr="00000000">
              <w:rPr>
                <w:rtl w:val="0"/>
              </w:rPr>
            </w:r>
          </w:p>
        </w:tc>
      </w:tr>
      <w:tr>
        <w:trPr>
          <w:cantSplit w:val="0"/>
          <w:trHeight w:val="725" w:hRule="atLeast"/>
          <w:tblHeader w:val="0"/>
        </w:trPr>
        <w:tc>
          <w:tcPr>
            <w:tcBorders>
              <w:top w:color="606060" w:space="0" w:sz="8" w:val="single"/>
              <w:left w:color="606060" w:space="0" w:sz="8" w:val="single"/>
              <w:bottom w:color="606060" w:space="0" w:sz="8" w:val="single"/>
              <w:right w:color="606060" w:space="0" w:sz="8" w:val="single"/>
            </w:tcBorders>
            <w:tcMar>
              <w:top w:w="100.0" w:type="dxa"/>
              <w:left w:w="100.0" w:type="dxa"/>
              <w:bottom w:w="100.0" w:type="dxa"/>
              <w:right w:w="100.0" w:type="dxa"/>
            </w:tcMar>
            <w:vAlign w:val="top"/>
          </w:tcPr>
          <w:p w:rsidR="00000000" w:rsidDel="00000000" w:rsidP="00000000" w:rsidRDefault="00000000" w:rsidRPr="00000000" w14:paraId="0000000E">
            <w:pPr>
              <w:rPr>
                <w:sz w:val="20"/>
                <w:szCs w:val="20"/>
              </w:rPr>
            </w:pPr>
            <w:r w:rsidDel="00000000" w:rsidR="00000000" w:rsidRPr="00000000">
              <w:rPr>
                <w:sz w:val="20"/>
                <w:szCs w:val="20"/>
                <w:rtl w:val="0"/>
              </w:rPr>
              <w:t xml:space="preserve">9.35-9.50 </w:t>
            </w:r>
          </w:p>
          <w:p w:rsidR="00000000" w:rsidDel="00000000" w:rsidP="00000000" w:rsidRDefault="00000000" w:rsidRPr="00000000" w14:paraId="0000000F">
            <w:pPr>
              <w:rPr>
                <w:sz w:val="20"/>
                <w:szCs w:val="20"/>
              </w:rPr>
            </w:pPr>
            <w:r w:rsidDel="00000000" w:rsidR="00000000" w:rsidRPr="00000000">
              <w:rPr>
                <w:sz w:val="20"/>
                <w:szCs w:val="20"/>
                <w:rtl w:val="0"/>
              </w:rPr>
              <w:t xml:space="preserve">9.50-10.00</w:t>
            </w:r>
          </w:p>
        </w:tc>
        <w:tc>
          <w:tcPr>
            <w:tcBorders>
              <w:top w:color="606060" w:space="0" w:sz="8" w:val="single"/>
              <w:left w:color="606060" w:space="0" w:sz="8" w:val="single"/>
              <w:bottom w:color="606060" w:space="0" w:sz="8" w:val="single"/>
              <w:right w:color="60606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sz w:val="20"/>
                <w:szCs w:val="20"/>
                <w:u w:val="single"/>
              </w:rPr>
            </w:pPr>
            <w:r w:rsidDel="00000000" w:rsidR="00000000" w:rsidRPr="00000000">
              <w:rPr>
                <w:sz w:val="20"/>
                <w:szCs w:val="20"/>
                <w:rtl w:val="0"/>
              </w:rPr>
              <w:t xml:space="preserve">Policy Reflections, </w:t>
            </w:r>
            <w:r w:rsidDel="00000000" w:rsidR="00000000" w:rsidRPr="00000000">
              <w:rPr>
                <w:sz w:val="20"/>
                <w:szCs w:val="20"/>
                <w:u w:val="single"/>
                <w:rtl w:val="0"/>
              </w:rPr>
              <w:t xml:space="preserve">Roland White (WB)</w:t>
            </w:r>
          </w:p>
          <w:p w:rsidR="00000000" w:rsidDel="00000000" w:rsidP="00000000" w:rsidRDefault="00000000" w:rsidRPr="00000000" w14:paraId="00000011">
            <w:pPr>
              <w:rPr>
                <w:sz w:val="20"/>
                <w:szCs w:val="20"/>
              </w:rPr>
            </w:pPr>
            <w:r w:rsidDel="00000000" w:rsidR="00000000" w:rsidRPr="00000000">
              <w:rPr>
                <w:sz w:val="20"/>
                <w:szCs w:val="20"/>
                <w:rtl w:val="0"/>
              </w:rPr>
              <w:t xml:space="preserve">Q&amp;A</w:t>
            </w:r>
            <w:r w:rsidDel="00000000" w:rsidR="00000000" w:rsidRPr="00000000">
              <w:rPr>
                <w:rtl w:val="0"/>
              </w:rPr>
            </w:r>
          </w:p>
        </w:tc>
      </w:tr>
      <w:tr>
        <w:trPr>
          <w:cantSplit w:val="0"/>
          <w:trHeight w:val="455" w:hRule="atLeast"/>
          <w:tblHeader w:val="0"/>
        </w:trPr>
        <w:tc>
          <w:tcPr>
            <w:tcBorders>
              <w:top w:color="606060" w:space="0" w:sz="8" w:val="single"/>
              <w:left w:color="606060" w:space="0" w:sz="8" w:val="single"/>
              <w:bottom w:color="606060" w:space="0" w:sz="8" w:val="single"/>
              <w:right w:color="606060" w:space="0" w:sz="8" w:val="single"/>
            </w:tcBorders>
            <w:tcMar>
              <w:top w:w="100.0" w:type="dxa"/>
              <w:left w:w="100.0" w:type="dxa"/>
              <w:bottom w:w="100.0" w:type="dxa"/>
              <w:right w:w="100.0" w:type="dxa"/>
            </w:tcMar>
            <w:vAlign w:val="top"/>
          </w:tcPr>
          <w:p w:rsidR="00000000" w:rsidDel="00000000" w:rsidP="00000000" w:rsidRDefault="00000000" w:rsidRPr="00000000" w14:paraId="00000012">
            <w:pPr>
              <w:rPr>
                <w:sz w:val="20"/>
                <w:szCs w:val="20"/>
              </w:rPr>
            </w:pPr>
            <w:r w:rsidDel="00000000" w:rsidR="00000000" w:rsidRPr="00000000">
              <w:rPr>
                <w:sz w:val="20"/>
                <w:szCs w:val="20"/>
                <w:rtl w:val="0"/>
              </w:rPr>
              <w:t xml:space="preserve">10:00 -10:10</w:t>
            </w:r>
            <w:r w:rsidDel="00000000" w:rsidR="00000000" w:rsidRPr="00000000">
              <w:rPr>
                <w:rtl w:val="0"/>
              </w:rPr>
            </w:r>
          </w:p>
        </w:tc>
        <w:tc>
          <w:tcPr>
            <w:tcBorders>
              <w:top w:color="606060" w:space="0" w:sz="8" w:val="single"/>
              <w:left w:color="606060" w:space="0" w:sz="8" w:val="single"/>
              <w:bottom w:color="606060" w:space="0" w:sz="8" w:val="single"/>
              <w:right w:color="606060" w:space="0" w:sz="8" w:val="single"/>
            </w:tcBorders>
            <w:tcMar>
              <w:top w:w="100.0" w:type="dxa"/>
              <w:left w:w="100.0" w:type="dxa"/>
              <w:bottom w:w="100.0" w:type="dxa"/>
              <w:right w:w="100.0" w:type="dxa"/>
            </w:tcMar>
            <w:vAlign w:val="top"/>
          </w:tcPr>
          <w:p w:rsidR="00000000" w:rsidDel="00000000" w:rsidP="00000000" w:rsidRDefault="00000000" w:rsidRPr="00000000" w14:paraId="00000013">
            <w:pPr>
              <w:rPr>
                <w:sz w:val="20"/>
                <w:szCs w:val="20"/>
              </w:rPr>
            </w:pPr>
            <w:r w:rsidDel="00000000" w:rsidR="00000000" w:rsidRPr="00000000">
              <w:rPr>
                <w:sz w:val="20"/>
                <w:szCs w:val="20"/>
                <w:rtl w:val="0"/>
              </w:rPr>
              <w:t xml:space="preserve">Coffee Break</w:t>
            </w:r>
            <w:r w:rsidDel="00000000" w:rsidR="00000000" w:rsidRPr="00000000">
              <w:rPr>
                <w:rtl w:val="0"/>
              </w:rPr>
            </w:r>
          </w:p>
        </w:tc>
      </w:tr>
      <w:tr>
        <w:trPr>
          <w:cantSplit w:val="0"/>
          <w:trHeight w:val="480" w:hRule="atLeast"/>
          <w:tblHeader w:val="0"/>
        </w:trPr>
        <w:tc>
          <w:tcPr>
            <w:gridSpan w:val="2"/>
            <w:tcBorders>
              <w:top w:color="606060" w:space="0" w:sz="8" w:val="single"/>
              <w:left w:color="606060" w:space="0" w:sz="8" w:val="single"/>
              <w:bottom w:color="606060" w:space="0" w:sz="8" w:val="single"/>
              <w:right w:color="60606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Research Presentations, </w:t>
            </w:r>
            <w:r w:rsidDel="00000000" w:rsidR="00000000" w:rsidRPr="00000000">
              <w:rPr>
                <w:sz w:val="20"/>
                <w:szCs w:val="20"/>
                <w:rtl w:val="0"/>
              </w:rPr>
              <w:t xml:space="preserve">Chair: </w:t>
            </w:r>
            <w:r w:rsidDel="00000000" w:rsidR="00000000" w:rsidRPr="00000000">
              <w:rPr>
                <w:sz w:val="20"/>
                <w:szCs w:val="20"/>
                <w:u w:val="single"/>
                <w:rtl w:val="0"/>
              </w:rPr>
              <w:t xml:space="preserve">Steven Hamilton (GWU)</w:t>
            </w:r>
            <w:r w:rsidDel="00000000" w:rsidR="00000000" w:rsidRPr="00000000">
              <w:rPr>
                <w:rtl w:val="0"/>
              </w:rPr>
            </w:r>
          </w:p>
        </w:tc>
      </w:tr>
      <w:tr>
        <w:trPr>
          <w:cantSplit w:val="0"/>
          <w:trHeight w:val="969.9999999999994" w:hRule="atLeast"/>
          <w:tblHeader w:val="0"/>
        </w:trPr>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sz w:val="20"/>
                <w:szCs w:val="20"/>
              </w:rPr>
            </w:pPr>
            <w:r w:rsidDel="00000000" w:rsidR="00000000" w:rsidRPr="00000000">
              <w:rPr>
                <w:sz w:val="20"/>
                <w:szCs w:val="20"/>
                <w:rtl w:val="0"/>
              </w:rPr>
              <w:t xml:space="preserve">10:10-10:30</w:t>
            </w:r>
          </w:p>
          <w:p w:rsidR="00000000" w:rsidDel="00000000" w:rsidP="00000000" w:rsidRDefault="00000000" w:rsidRPr="00000000" w14:paraId="00000017">
            <w:pPr>
              <w:rPr>
                <w:sz w:val="20"/>
                <w:szCs w:val="20"/>
              </w:rPr>
            </w:pPr>
            <w:r w:rsidDel="00000000" w:rsidR="00000000" w:rsidRPr="00000000">
              <w:rPr>
                <w:sz w:val="20"/>
                <w:szCs w:val="20"/>
                <w:rtl w:val="0"/>
              </w:rPr>
              <w:t xml:space="preserve">10:30-10:35</w:t>
            </w:r>
          </w:p>
          <w:p w:rsidR="00000000" w:rsidDel="00000000" w:rsidP="00000000" w:rsidRDefault="00000000" w:rsidRPr="00000000" w14:paraId="00000018">
            <w:pPr>
              <w:rPr>
                <w:sz w:val="20"/>
                <w:szCs w:val="20"/>
              </w:rPr>
            </w:pPr>
            <w:r w:rsidDel="00000000" w:rsidR="00000000" w:rsidRPr="00000000">
              <w:rPr>
                <w:sz w:val="20"/>
                <w:szCs w:val="20"/>
                <w:rtl w:val="0"/>
              </w:rPr>
              <w:t xml:space="preserve">10:35-10:45</w:t>
            </w:r>
            <w:r w:rsidDel="00000000" w:rsidR="00000000" w:rsidRPr="00000000">
              <w:rPr>
                <w:rtl w:val="0"/>
              </w:rPr>
            </w:r>
          </w:p>
        </w:tc>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rPr>
                <w:sz w:val="20"/>
                <w:szCs w:val="20"/>
              </w:rPr>
            </w:pPr>
            <w:r w:rsidDel="00000000" w:rsidR="00000000" w:rsidRPr="00000000">
              <w:rPr>
                <w:sz w:val="20"/>
                <w:szCs w:val="20"/>
                <w:u w:val="single"/>
                <w:rtl w:val="0"/>
              </w:rPr>
              <w:t xml:space="preserve">Justine Knebelmann (MIT/JPAL)</w:t>
            </w:r>
            <w:r w:rsidDel="00000000" w:rsidR="00000000" w:rsidRPr="00000000">
              <w:rPr>
                <w:sz w:val="20"/>
                <w:szCs w:val="20"/>
                <w:rtl w:val="0"/>
              </w:rPr>
              <w:t xml:space="preserve"> “Widening the Tax Net when Information is Scarce”</w:t>
            </w:r>
          </w:p>
          <w:p w:rsidR="00000000" w:rsidDel="00000000" w:rsidP="00000000" w:rsidRDefault="00000000" w:rsidRPr="00000000" w14:paraId="0000001A">
            <w:pPr>
              <w:rPr>
                <w:sz w:val="20"/>
                <w:szCs w:val="20"/>
              </w:rPr>
            </w:pPr>
            <w:r w:rsidDel="00000000" w:rsidR="00000000" w:rsidRPr="00000000">
              <w:rPr>
                <w:sz w:val="20"/>
                <w:szCs w:val="20"/>
                <w:rtl w:val="0"/>
              </w:rPr>
              <w:t xml:space="preserve">Discussant: Sacha Dray (WB-GPMTI) </w:t>
            </w:r>
          </w:p>
          <w:p w:rsidR="00000000" w:rsidDel="00000000" w:rsidP="00000000" w:rsidRDefault="00000000" w:rsidRPr="00000000" w14:paraId="0000001B">
            <w:pPr>
              <w:rPr>
                <w:sz w:val="20"/>
                <w:szCs w:val="20"/>
              </w:rPr>
            </w:pPr>
            <w:r w:rsidDel="00000000" w:rsidR="00000000" w:rsidRPr="00000000">
              <w:rPr>
                <w:sz w:val="20"/>
                <w:szCs w:val="20"/>
                <w:rtl w:val="0"/>
              </w:rPr>
              <w:t xml:space="preserve">Q&amp;A</w:t>
            </w:r>
            <w:r w:rsidDel="00000000" w:rsidR="00000000" w:rsidRPr="00000000">
              <w:rPr>
                <w:rtl w:val="0"/>
              </w:rPr>
            </w:r>
          </w:p>
        </w:tc>
      </w:tr>
      <w:tr>
        <w:trPr>
          <w:cantSplit w:val="0"/>
          <w:trHeight w:val="980" w:hRule="atLeast"/>
          <w:tblHeader w:val="0"/>
        </w:trPr>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sz w:val="20"/>
                <w:szCs w:val="20"/>
              </w:rPr>
            </w:pPr>
            <w:r w:rsidDel="00000000" w:rsidR="00000000" w:rsidRPr="00000000">
              <w:rPr>
                <w:sz w:val="20"/>
                <w:szCs w:val="20"/>
                <w:rtl w:val="0"/>
              </w:rPr>
              <w:t xml:space="preserve">10:45-11:05</w:t>
            </w:r>
          </w:p>
          <w:p w:rsidR="00000000" w:rsidDel="00000000" w:rsidP="00000000" w:rsidRDefault="00000000" w:rsidRPr="00000000" w14:paraId="0000001D">
            <w:pPr>
              <w:rPr>
                <w:sz w:val="20"/>
                <w:szCs w:val="20"/>
              </w:rPr>
            </w:pPr>
            <w:r w:rsidDel="00000000" w:rsidR="00000000" w:rsidRPr="00000000">
              <w:rPr>
                <w:sz w:val="20"/>
                <w:szCs w:val="20"/>
                <w:rtl w:val="0"/>
              </w:rPr>
              <w:t xml:space="preserve">11:05-11:10</w:t>
            </w:r>
          </w:p>
          <w:p w:rsidR="00000000" w:rsidDel="00000000" w:rsidP="00000000" w:rsidRDefault="00000000" w:rsidRPr="00000000" w14:paraId="0000001E">
            <w:pPr>
              <w:rPr>
                <w:sz w:val="20"/>
                <w:szCs w:val="20"/>
              </w:rPr>
            </w:pPr>
            <w:r w:rsidDel="00000000" w:rsidR="00000000" w:rsidRPr="00000000">
              <w:rPr>
                <w:sz w:val="20"/>
                <w:szCs w:val="20"/>
                <w:rtl w:val="0"/>
              </w:rPr>
              <w:t xml:space="preserve">11:10-11:20</w:t>
            </w:r>
            <w:r w:rsidDel="00000000" w:rsidR="00000000" w:rsidRPr="00000000">
              <w:rPr>
                <w:rtl w:val="0"/>
              </w:rPr>
            </w:r>
          </w:p>
        </w:tc>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rPr>
                <w:sz w:val="20"/>
                <w:szCs w:val="20"/>
              </w:rPr>
            </w:pPr>
            <w:r w:rsidDel="00000000" w:rsidR="00000000" w:rsidRPr="00000000">
              <w:rPr>
                <w:sz w:val="20"/>
                <w:szCs w:val="20"/>
                <w:u w:val="single"/>
                <w:rtl w:val="0"/>
              </w:rPr>
              <w:t xml:space="preserve">Gabriel Tourek (Pittsburg) </w:t>
            </w:r>
            <w:r w:rsidDel="00000000" w:rsidR="00000000" w:rsidRPr="00000000">
              <w:rPr>
                <w:sz w:val="20"/>
                <w:szCs w:val="20"/>
                <w:rtl w:val="0"/>
              </w:rPr>
              <w:t xml:space="preserve">“Optimal Assignment of Tax Bureaucrats”</w:t>
            </w:r>
          </w:p>
          <w:p w:rsidR="00000000" w:rsidDel="00000000" w:rsidP="00000000" w:rsidRDefault="00000000" w:rsidRPr="00000000" w14:paraId="00000020">
            <w:pPr>
              <w:rPr>
                <w:sz w:val="20"/>
                <w:szCs w:val="20"/>
              </w:rPr>
            </w:pPr>
            <w:r w:rsidDel="00000000" w:rsidR="00000000" w:rsidRPr="00000000">
              <w:rPr>
                <w:sz w:val="20"/>
                <w:szCs w:val="20"/>
                <w:rtl w:val="0"/>
              </w:rPr>
              <w:t xml:space="preserve">Discussant: Dan Rogger (WB-DIME)</w:t>
            </w:r>
          </w:p>
          <w:p w:rsidR="00000000" w:rsidDel="00000000" w:rsidP="00000000" w:rsidRDefault="00000000" w:rsidRPr="00000000" w14:paraId="00000021">
            <w:pPr>
              <w:rPr>
                <w:sz w:val="20"/>
                <w:szCs w:val="20"/>
              </w:rPr>
            </w:pPr>
            <w:r w:rsidDel="00000000" w:rsidR="00000000" w:rsidRPr="00000000">
              <w:rPr>
                <w:sz w:val="20"/>
                <w:szCs w:val="20"/>
                <w:rtl w:val="0"/>
              </w:rPr>
              <w:t xml:space="preserve">Q&amp;A</w:t>
            </w:r>
            <w:r w:rsidDel="00000000" w:rsidR="00000000" w:rsidRPr="00000000">
              <w:rPr>
                <w:rtl w:val="0"/>
              </w:rPr>
            </w:r>
          </w:p>
        </w:tc>
      </w:tr>
      <w:tr>
        <w:trPr>
          <w:cantSplit w:val="0"/>
          <w:trHeight w:val="980" w:hRule="atLeast"/>
          <w:tblHeader w:val="0"/>
        </w:trPr>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rPr>
                <w:sz w:val="20"/>
                <w:szCs w:val="20"/>
              </w:rPr>
            </w:pPr>
            <w:r w:rsidDel="00000000" w:rsidR="00000000" w:rsidRPr="00000000">
              <w:rPr>
                <w:sz w:val="20"/>
                <w:szCs w:val="20"/>
                <w:rtl w:val="0"/>
              </w:rPr>
              <w:t xml:space="preserve">11:20-11:40</w:t>
            </w:r>
          </w:p>
          <w:p w:rsidR="00000000" w:rsidDel="00000000" w:rsidP="00000000" w:rsidRDefault="00000000" w:rsidRPr="00000000" w14:paraId="00000023">
            <w:pPr>
              <w:rPr>
                <w:sz w:val="20"/>
                <w:szCs w:val="20"/>
              </w:rPr>
            </w:pPr>
            <w:r w:rsidDel="00000000" w:rsidR="00000000" w:rsidRPr="00000000">
              <w:rPr>
                <w:sz w:val="20"/>
                <w:szCs w:val="20"/>
                <w:rtl w:val="0"/>
              </w:rPr>
              <w:t xml:space="preserve">11:40-11:45</w:t>
            </w:r>
          </w:p>
          <w:p w:rsidR="00000000" w:rsidDel="00000000" w:rsidP="00000000" w:rsidRDefault="00000000" w:rsidRPr="00000000" w14:paraId="00000024">
            <w:pPr>
              <w:rPr>
                <w:sz w:val="20"/>
                <w:szCs w:val="20"/>
              </w:rPr>
            </w:pPr>
            <w:r w:rsidDel="00000000" w:rsidR="00000000" w:rsidRPr="00000000">
              <w:rPr>
                <w:sz w:val="20"/>
                <w:szCs w:val="20"/>
                <w:rtl w:val="0"/>
              </w:rPr>
              <w:t xml:space="preserve">11:45-11:55</w:t>
            </w:r>
            <w:r w:rsidDel="00000000" w:rsidR="00000000" w:rsidRPr="00000000">
              <w:rPr>
                <w:rtl w:val="0"/>
              </w:rPr>
            </w:r>
          </w:p>
        </w:tc>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rPr>
                <w:sz w:val="20"/>
                <w:szCs w:val="20"/>
              </w:rPr>
            </w:pPr>
            <w:r w:rsidDel="00000000" w:rsidR="00000000" w:rsidRPr="00000000">
              <w:rPr>
                <w:sz w:val="20"/>
                <w:szCs w:val="20"/>
                <w:u w:val="single"/>
                <w:rtl w:val="0"/>
              </w:rPr>
              <w:t xml:space="preserve">Tanner Regan (GWU)</w:t>
            </w:r>
            <w:r w:rsidDel="00000000" w:rsidR="00000000" w:rsidRPr="00000000">
              <w:rPr>
                <w:sz w:val="20"/>
                <w:szCs w:val="20"/>
                <w:rtl w:val="0"/>
              </w:rPr>
              <w:t xml:space="preserve"> “Public Disclosure and Tax Compliance”</w:t>
            </w:r>
          </w:p>
          <w:p w:rsidR="00000000" w:rsidDel="00000000" w:rsidP="00000000" w:rsidRDefault="00000000" w:rsidRPr="00000000" w14:paraId="00000026">
            <w:pPr>
              <w:rPr>
                <w:sz w:val="20"/>
                <w:szCs w:val="20"/>
              </w:rPr>
            </w:pPr>
            <w:r w:rsidDel="00000000" w:rsidR="00000000" w:rsidRPr="00000000">
              <w:rPr>
                <w:sz w:val="20"/>
                <w:szCs w:val="20"/>
                <w:rtl w:val="0"/>
              </w:rPr>
              <w:t xml:space="preserve">Discussant: Oyebola Okunogbe (WB-DRG)</w:t>
            </w:r>
          </w:p>
          <w:p w:rsidR="00000000" w:rsidDel="00000000" w:rsidP="00000000" w:rsidRDefault="00000000" w:rsidRPr="00000000" w14:paraId="00000027">
            <w:pPr>
              <w:rPr>
                <w:sz w:val="20"/>
                <w:szCs w:val="20"/>
              </w:rPr>
            </w:pPr>
            <w:r w:rsidDel="00000000" w:rsidR="00000000" w:rsidRPr="00000000">
              <w:rPr>
                <w:sz w:val="20"/>
                <w:szCs w:val="20"/>
                <w:rtl w:val="0"/>
              </w:rPr>
              <w:t xml:space="preserve">Q&amp;A</w:t>
            </w:r>
            <w:r w:rsidDel="00000000" w:rsidR="00000000" w:rsidRPr="00000000">
              <w:rPr>
                <w:rtl w:val="0"/>
              </w:rPr>
            </w:r>
          </w:p>
        </w:tc>
      </w:tr>
      <w:tr>
        <w:trPr>
          <w:cantSplit w:val="0"/>
          <w:trHeight w:val="360" w:hRule="atLeast"/>
          <w:tblHeader w:val="0"/>
        </w:trPr>
        <w:tc>
          <w:tcPr>
            <w:gridSpan w:val="2"/>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Concluding Remarks</w:t>
            </w:r>
            <w:r w:rsidDel="00000000" w:rsidR="00000000" w:rsidRPr="00000000">
              <w:rPr>
                <w:rtl w:val="0"/>
              </w:rPr>
            </w:r>
          </w:p>
        </w:tc>
      </w:tr>
      <w:tr>
        <w:trPr>
          <w:cantSplit w:val="0"/>
          <w:trHeight w:val="455" w:hRule="atLeast"/>
          <w:tblHeader w:val="0"/>
        </w:trPr>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sz w:val="20"/>
                <w:szCs w:val="20"/>
              </w:rPr>
            </w:pPr>
            <w:r w:rsidDel="00000000" w:rsidR="00000000" w:rsidRPr="00000000">
              <w:rPr>
                <w:sz w:val="20"/>
                <w:szCs w:val="20"/>
                <w:rtl w:val="0"/>
              </w:rPr>
              <w:t xml:space="preserve">11.55-12.10</w:t>
            </w:r>
            <w:r w:rsidDel="00000000" w:rsidR="00000000" w:rsidRPr="00000000">
              <w:rPr>
                <w:rtl w:val="0"/>
              </w:rPr>
            </w:r>
          </w:p>
        </w:tc>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sz w:val="20"/>
                <w:szCs w:val="20"/>
              </w:rPr>
            </w:pPr>
            <w:r w:rsidDel="00000000" w:rsidR="00000000" w:rsidRPr="00000000">
              <w:rPr>
                <w:sz w:val="20"/>
                <w:szCs w:val="20"/>
                <w:u w:val="single"/>
                <w:rtl w:val="0"/>
              </w:rPr>
              <w:t xml:space="preserve">Bernice Van Bronkhorst (WB-GPURL) and Paul Carrillo (GWU)</w:t>
            </w:r>
            <w:r w:rsidDel="00000000" w:rsidR="00000000" w:rsidRPr="00000000">
              <w:rPr>
                <w:rtl w:val="0"/>
              </w:rPr>
            </w:r>
          </w:p>
        </w:tc>
      </w:tr>
      <w:tr>
        <w:trPr>
          <w:cantSplit w:val="0"/>
          <w:trHeight w:val="380.00000000000057" w:hRule="atLeast"/>
          <w:tblHeader w:val="0"/>
        </w:trPr>
        <w:tc>
          <w:tcPr>
            <w:gridSpan w:val="2"/>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sz w:val="20"/>
                <w:szCs w:val="20"/>
              </w:rPr>
            </w:pPr>
            <w:r w:rsidDel="00000000" w:rsidR="00000000" w:rsidRPr="00000000">
              <w:rPr>
                <w:b w:val="1"/>
                <w:sz w:val="20"/>
                <w:szCs w:val="20"/>
                <w:rtl w:val="0"/>
              </w:rPr>
              <w:t xml:space="preserve">Lunch</w:t>
            </w:r>
            <w:r w:rsidDel="00000000" w:rsidR="00000000" w:rsidRPr="00000000">
              <w:rPr>
                <w:rtl w:val="0"/>
              </w:rPr>
            </w:r>
          </w:p>
        </w:tc>
      </w:tr>
      <w:tr>
        <w:trPr>
          <w:cantSplit w:val="0"/>
          <w:trHeight w:val="455" w:hRule="atLeast"/>
          <w:tblHeader w:val="0"/>
        </w:trPr>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sz w:val="20"/>
                <w:szCs w:val="20"/>
              </w:rPr>
            </w:pPr>
            <w:r w:rsidDel="00000000" w:rsidR="00000000" w:rsidRPr="00000000">
              <w:rPr>
                <w:sz w:val="20"/>
                <w:szCs w:val="20"/>
                <w:rtl w:val="0"/>
              </w:rPr>
              <w:t xml:space="preserve">From 12.15</w:t>
            </w:r>
            <w:r w:rsidDel="00000000" w:rsidR="00000000" w:rsidRPr="00000000">
              <w:rPr>
                <w:rtl w:val="0"/>
              </w:rPr>
            </w:r>
          </w:p>
        </w:tc>
        <w:tc>
          <w:tcPr>
            <w:tcBorders>
              <w:top w:color="606060" w:space="0" w:sz="8" w:val="single"/>
              <w:left w:color="606060" w:space="0" w:sz="8" w:val="single"/>
              <w:bottom w:color="606060" w:space="0" w:sz="8" w:val="single"/>
              <w:right w:color="606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rPr>
                <w:sz w:val="20"/>
                <w:szCs w:val="20"/>
              </w:rPr>
            </w:pPr>
            <w:r w:rsidDel="00000000" w:rsidR="00000000" w:rsidRPr="00000000">
              <w:rPr>
                <w:sz w:val="20"/>
                <w:szCs w:val="20"/>
                <w:rtl w:val="0"/>
              </w:rPr>
              <w:t xml:space="preserve">At the World Bank (open to all)</w:t>
            </w:r>
            <w:r w:rsidDel="00000000" w:rsidR="00000000" w:rsidRPr="00000000">
              <w:rPr>
                <w:rtl w:val="0"/>
              </w:rPr>
            </w:r>
          </w:p>
        </w:tc>
      </w:tr>
    </w:tbl>
    <w:p w:rsidR="00000000" w:rsidDel="00000000" w:rsidP="00000000" w:rsidRDefault="00000000" w:rsidRPr="00000000" w14:paraId="00000030">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