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0"/>
          <w:szCs w:val="20"/>
        </w:rPr>
      </w:pPr>
      <w:r w:rsidDel="00000000" w:rsidR="00000000" w:rsidRPr="00000000">
        <w:rPr>
          <w:b w:val="1"/>
          <w:sz w:val="20"/>
          <w:szCs w:val="20"/>
          <w:rtl w:val="0"/>
        </w:rPr>
        <w:t xml:space="preserve">World Bank &amp; GWU Sustainable Cities Workshop Series</w:t>
      </w:r>
    </w:p>
    <w:p w:rsidR="00000000" w:rsidDel="00000000" w:rsidP="00000000" w:rsidRDefault="00000000" w:rsidRPr="00000000" w14:paraId="00000002">
      <w:pPr>
        <w:spacing w:after="0" w:lineRule="auto"/>
        <w:jc w:val="center"/>
        <w:rPr>
          <w:b w:val="1"/>
          <w:sz w:val="20"/>
          <w:szCs w:val="20"/>
        </w:rPr>
      </w:pPr>
      <w:r w:rsidDel="00000000" w:rsidR="00000000" w:rsidRPr="00000000">
        <w:rPr>
          <w:b w:val="1"/>
          <w:sz w:val="20"/>
          <w:szCs w:val="20"/>
          <w:rtl w:val="0"/>
        </w:rPr>
        <w:t xml:space="preserve">Workshop 3: Housing, local economic development and planning</w:t>
      </w:r>
    </w:p>
    <w:p w:rsidR="00000000" w:rsidDel="00000000" w:rsidP="00000000" w:rsidRDefault="00000000" w:rsidRPr="00000000" w14:paraId="00000003">
      <w:pPr>
        <w:spacing w:after="0" w:lineRule="auto"/>
        <w:jc w:val="center"/>
        <w:rPr>
          <w:sz w:val="20"/>
          <w:szCs w:val="20"/>
        </w:rPr>
      </w:pPr>
      <w:r w:rsidDel="00000000" w:rsidR="00000000" w:rsidRPr="00000000">
        <w:rPr>
          <w:sz w:val="20"/>
          <w:szCs w:val="20"/>
          <w:rtl w:val="0"/>
        </w:rPr>
        <w:t xml:space="preserve">Thursday 15 February, 2024 - Morning</w:t>
      </w:r>
    </w:p>
    <w:p w:rsidR="00000000" w:rsidDel="00000000" w:rsidP="00000000" w:rsidRDefault="00000000" w:rsidRPr="00000000" w14:paraId="00000004">
      <w:pPr>
        <w:spacing w:after="0" w:lineRule="auto"/>
        <w:jc w:val="center"/>
        <w:rPr>
          <w:sz w:val="20"/>
          <w:szCs w:val="20"/>
        </w:rPr>
      </w:pPr>
      <w:r w:rsidDel="00000000" w:rsidR="00000000" w:rsidRPr="00000000">
        <w:rPr>
          <w:sz w:val="20"/>
          <w:szCs w:val="20"/>
          <w:rtl w:val="0"/>
        </w:rPr>
        <w:t xml:space="preserve">Location: Hybrid-World Bank, Room MC4-100, 1818 H St NW, Washington, DC</w:t>
      </w:r>
    </w:p>
    <w:p w:rsidR="00000000" w:rsidDel="00000000" w:rsidP="00000000" w:rsidRDefault="00000000" w:rsidRPr="00000000" w14:paraId="00000005">
      <w:pPr>
        <w:spacing w:after="0" w:lineRule="auto"/>
        <w:jc w:val="center"/>
        <w:rPr>
          <w:sz w:val="20"/>
          <w:szCs w:val="20"/>
        </w:rPr>
      </w:pPr>
      <w:r w:rsidDel="00000000" w:rsidR="00000000" w:rsidRPr="00000000">
        <w:rPr>
          <w:rtl w:val="0"/>
        </w:rPr>
      </w:r>
    </w:p>
    <w:p w:rsidR="00000000" w:rsidDel="00000000" w:rsidP="00000000" w:rsidRDefault="00000000" w:rsidRPr="00000000" w14:paraId="00000006">
      <w:pPr>
        <w:jc w:val="both"/>
        <w:rPr>
          <w:sz w:val="20"/>
          <w:szCs w:val="20"/>
        </w:rPr>
      </w:pPr>
      <w:r w:rsidDel="00000000" w:rsidR="00000000" w:rsidRPr="00000000">
        <w:rPr>
          <w:sz w:val="20"/>
          <w:szCs w:val="20"/>
          <w:rtl w:val="0"/>
        </w:rPr>
        <w:t xml:space="preserve">The World Bank – GWU Sustainable Cities workshop series brings together academics and development practitioners to present and discuss key questions of common interest relating to Sustainable Urbanization. Each workshop in the series focuses on a particular topic relating to cities in developing countries. The workshops are hosted by the World Bank (Urban</w:t>
      </w:r>
      <w:r w:rsidDel="00000000" w:rsidR="00000000" w:rsidRPr="00000000">
        <w:rPr>
          <w:sz w:val="20"/>
          <w:szCs w:val="20"/>
          <w:rtl w:val="0"/>
        </w:rPr>
        <w:t xml:space="preserve">, DRM, Resilience and Land Global Practice) and George Washington University (Institute for International Economic Policy &amp; Department of Economics). Funding for this project was provided by the Institute for Humane Studies.</w:t>
      </w:r>
      <w:r w:rsidDel="00000000" w:rsidR="00000000" w:rsidRPr="00000000">
        <w:rPr>
          <w:rtl w:val="0"/>
        </w:rPr>
      </w:r>
    </w:p>
    <w:tbl>
      <w:tblPr>
        <w:tblStyle w:val="Table1"/>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35.0000000000002"/>
        <w:gridCol w:w="7795"/>
        <w:tblGridChange w:id="0">
          <w:tblGrid>
            <w:gridCol w:w="1235.0000000000002"/>
            <w:gridCol w:w="7795"/>
          </w:tblGrid>
        </w:tblGridChange>
      </w:tblGrid>
      <w:tr>
        <w:trPr>
          <w:cantSplit w:val="0"/>
          <w:trHeight w:val="288.8378906249994"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7">
            <w:pPr>
              <w:spacing w:after="0" w:before="0" w:line="240" w:lineRule="auto"/>
              <w:rPr>
                <w:sz w:val="20"/>
                <w:szCs w:val="20"/>
              </w:rPr>
            </w:pPr>
            <w:r w:rsidDel="00000000" w:rsidR="00000000" w:rsidRPr="00000000">
              <w:rPr>
                <w:sz w:val="20"/>
                <w:szCs w:val="20"/>
                <w:rtl w:val="0"/>
              </w:rPr>
              <w:t xml:space="preserve">8.30-9.00</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08">
            <w:pPr>
              <w:spacing w:after="0" w:line="240" w:lineRule="auto"/>
              <w:ind w:left="0" w:firstLine="0"/>
              <w:rPr>
                <w:b w:val="1"/>
                <w:sz w:val="20"/>
                <w:szCs w:val="20"/>
              </w:rPr>
            </w:pPr>
            <w:r w:rsidDel="00000000" w:rsidR="00000000" w:rsidRPr="00000000">
              <w:rPr>
                <w:b w:val="1"/>
                <w:sz w:val="20"/>
                <w:szCs w:val="20"/>
                <w:rtl w:val="0"/>
              </w:rPr>
              <w:t xml:space="preserve">Breakfast </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9">
            <w:pPr>
              <w:spacing w:after="0" w:before="0" w:line="240" w:lineRule="auto"/>
              <w:rPr>
                <w:sz w:val="20"/>
                <w:szCs w:val="20"/>
              </w:rPr>
            </w:pPr>
            <w:r w:rsidDel="00000000" w:rsidR="00000000" w:rsidRPr="00000000">
              <w:rPr>
                <w:sz w:val="20"/>
                <w:szCs w:val="20"/>
                <w:rtl w:val="0"/>
              </w:rPr>
              <w:t xml:space="preserve">9:00-9:05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A">
            <w:pPr>
              <w:rPr>
                <w:b w:val="1"/>
                <w:sz w:val="20"/>
                <w:szCs w:val="20"/>
              </w:rPr>
            </w:pPr>
            <w:r w:rsidDel="00000000" w:rsidR="00000000" w:rsidRPr="00000000">
              <w:rPr>
                <w:sz w:val="20"/>
                <w:szCs w:val="20"/>
                <w:rtl w:val="0"/>
              </w:rPr>
              <w:t xml:space="preserve">Opening Remarks: Angelica Nunez (Manager, Global Programs Unit, GPURL - World Bank)</w:t>
            </w:r>
            <w:r w:rsidDel="00000000" w:rsidR="00000000" w:rsidRPr="00000000">
              <w:rPr>
                <w:rtl w:val="0"/>
              </w:rPr>
            </w:r>
          </w:p>
          <w:p w:rsidR="00000000" w:rsidDel="00000000" w:rsidP="00000000" w:rsidRDefault="00000000" w:rsidRPr="00000000" w14:paraId="0000000B">
            <w:pPr>
              <w:spacing w:after="0" w:before="0" w:line="240" w:lineRule="auto"/>
              <w:rPr>
                <w:sz w:val="20"/>
                <w:szCs w:val="20"/>
              </w:rPr>
            </w:pPr>
            <w:r w:rsidDel="00000000" w:rsidR="00000000" w:rsidRPr="00000000">
              <w:rPr>
                <w:b w:val="1"/>
                <w:sz w:val="20"/>
                <w:szCs w:val="20"/>
                <w:rtl w:val="0"/>
              </w:rPr>
              <w:t xml:space="preserve">Paper session.</w:t>
            </w:r>
            <w:r w:rsidDel="00000000" w:rsidR="00000000" w:rsidRPr="00000000">
              <w:rPr>
                <w:sz w:val="20"/>
                <w:szCs w:val="20"/>
                <w:rtl w:val="0"/>
              </w:rPr>
              <w:t xml:space="preserve"> </w:t>
            </w:r>
          </w:p>
          <w:p w:rsidR="00000000" w:rsidDel="00000000" w:rsidP="00000000" w:rsidRDefault="00000000" w:rsidRPr="00000000" w14:paraId="0000000C">
            <w:pPr>
              <w:spacing w:after="0" w:before="0" w:line="240" w:lineRule="auto"/>
              <w:rPr>
                <w:b w:val="1"/>
                <w:sz w:val="20"/>
                <w:szCs w:val="20"/>
              </w:rPr>
            </w:pPr>
            <w:r w:rsidDel="00000000" w:rsidR="00000000" w:rsidRPr="00000000">
              <w:rPr>
                <w:sz w:val="20"/>
                <w:szCs w:val="20"/>
                <w:rtl w:val="0"/>
              </w:rPr>
              <w:t xml:space="preserve">Chair: </w:t>
            </w:r>
            <w:r w:rsidDel="00000000" w:rsidR="00000000" w:rsidRPr="00000000">
              <w:rPr>
                <w:sz w:val="20"/>
                <w:szCs w:val="20"/>
                <w:rtl w:val="0"/>
              </w:rPr>
              <w:t xml:space="preserve">Tanner Regan (GWU)</w:t>
            </w:r>
            <w:r w:rsidDel="00000000" w:rsidR="00000000" w:rsidRPr="00000000">
              <w:rPr>
                <w:rtl w:val="0"/>
              </w:rPr>
            </w:r>
          </w:p>
        </w:tc>
      </w:tr>
      <w:tr>
        <w:trPr>
          <w:cantSplit w:val="0"/>
          <w:trHeight w:val="445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D">
            <w:pPr>
              <w:spacing w:after="0" w:before="0" w:line="240" w:lineRule="auto"/>
              <w:rPr>
                <w:sz w:val="20"/>
                <w:szCs w:val="20"/>
              </w:rPr>
            </w:pPr>
            <w:r w:rsidDel="00000000" w:rsidR="00000000" w:rsidRPr="00000000">
              <w:rPr>
                <w:sz w:val="20"/>
                <w:szCs w:val="20"/>
                <w:rtl w:val="0"/>
              </w:rPr>
              <w:t xml:space="preserve">9:05-9:25</w:t>
            </w:r>
          </w:p>
          <w:p w:rsidR="00000000" w:rsidDel="00000000" w:rsidP="00000000" w:rsidRDefault="00000000" w:rsidRPr="00000000" w14:paraId="0000000E">
            <w:pPr>
              <w:spacing w:after="0" w:before="0" w:line="240" w:lineRule="auto"/>
              <w:rPr>
                <w:sz w:val="20"/>
                <w:szCs w:val="20"/>
              </w:rPr>
            </w:pPr>
            <w:r w:rsidDel="00000000" w:rsidR="00000000" w:rsidRPr="00000000">
              <w:rPr>
                <w:rtl w:val="0"/>
              </w:rPr>
            </w:r>
          </w:p>
          <w:p w:rsidR="00000000" w:rsidDel="00000000" w:rsidP="00000000" w:rsidRDefault="00000000" w:rsidRPr="00000000" w14:paraId="0000000F">
            <w:pPr>
              <w:spacing w:after="0" w:before="0" w:line="240" w:lineRule="auto"/>
              <w:rPr>
                <w:sz w:val="20"/>
                <w:szCs w:val="20"/>
              </w:rPr>
            </w:pPr>
            <w:r w:rsidDel="00000000" w:rsidR="00000000" w:rsidRPr="00000000">
              <w:rPr>
                <w:sz w:val="20"/>
                <w:szCs w:val="20"/>
                <w:rtl w:val="0"/>
              </w:rPr>
              <w:t xml:space="preserve">9.25-9.30</w:t>
            </w:r>
          </w:p>
          <w:p w:rsidR="00000000" w:rsidDel="00000000" w:rsidP="00000000" w:rsidRDefault="00000000" w:rsidRPr="00000000" w14:paraId="00000010">
            <w:pPr>
              <w:spacing w:after="0" w:before="0" w:line="240" w:lineRule="auto"/>
              <w:rPr>
                <w:sz w:val="20"/>
                <w:szCs w:val="20"/>
              </w:rPr>
            </w:pPr>
            <w:r w:rsidDel="00000000" w:rsidR="00000000" w:rsidRPr="00000000">
              <w:rPr>
                <w:sz w:val="20"/>
                <w:szCs w:val="20"/>
                <w:rtl w:val="0"/>
              </w:rPr>
              <w:t xml:space="preserve">9.30-9.40</w:t>
            </w:r>
          </w:p>
          <w:p w:rsidR="00000000" w:rsidDel="00000000" w:rsidP="00000000" w:rsidRDefault="00000000" w:rsidRPr="00000000" w14:paraId="00000011">
            <w:pPr>
              <w:spacing w:after="0" w:before="0" w:line="240" w:lineRule="auto"/>
              <w:rPr>
                <w:sz w:val="20"/>
                <w:szCs w:val="20"/>
              </w:rPr>
            </w:pPr>
            <w:r w:rsidDel="00000000" w:rsidR="00000000" w:rsidRPr="00000000">
              <w:rPr>
                <w:rtl w:val="0"/>
              </w:rPr>
            </w:r>
          </w:p>
          <w:p w:rsidR="00000000" w:rsidDel="00000000" w:rsidP="00000000" w:rsidRDefault="00000000" w:rsidRPr="00000000" w14:paraId="00000012">
            <w:pPr>
              <w:spacing w:after="0" w:before="0" w:line="240" w:lineRule="auto"/>
              <w:rPr>
                <w:sz w:val="20"/>
                <w:szCs w:val="20"/>
              </w:rPr>
            </w:pPr>
            <w:r w:rsidDel="00000000" w:rsidR="00000000" w:rsidRPr="00000000">
              <w:rPr>
                <w:sz w:val="20"/>
                <w:szCs w:val="20"/>
                <w:rtl w:val="0"/>
              </w:rPr>
              <w:t xml:space="preserve">9.40-10.00</w:t>
            </w:r>
          </w:p>
          <w:p w:rsidR="00000000" w:rsidDel="00000000" w:rsidP="00000000" w:rsidRDefault="00000000" w:rsidRPr="00000000" w14:paraId="00000013">
            <w:pPr>
              <w:spacing w:after="0" w:before="0" w:line="240" w:lineRule="auto"/>
              <w:rPr>
                <w:sz w:val="20"/>
                <w:szCs w:val="20"/>
              </w:rPr>
            </w:pPr>
            <w:r w:rsidDel="00000000" w:rsidR="00000000" w:rsidRPr="00000000">
              <w:rPr>
                <w:rtl w:val="0"/>
              </w:rPr>
            </w:r>
          </w:p>
          <w:p w:rsidR="00000000" w:rsidDel="00000000" w:rsidP="00000000" w:rsidRDefault="00000000" w:rsidRPr="00000000" w14:paraId="00000014">
            <w:pPr>
              <w:spacing w:after="0" w:before="0" w:line="240" w:lineRule="auto"/>
              <w:rPr>
                <w:sz w:val="20"/>
                <w:szCs w:val="20"/>
              </w:rPr>
            </w:pPr>
            <w:r w:rsidDel="00000000" w:rsidR="00000000" w:rsidRPr="00000000">
              <w:rPr>
                <w:sz w:val="20"/>
                <w:szCs w:val="20"/>
                <w:rtl w:val="0"/>
              </w:rPr>
              <w:t xml:space="preserve">10.00-10.05</w:t>
            </w:r>
          </w:p>
          <w:p w:rsidR="00000000" w:rsidDel="00000000" w:rsidP="00000000" w:rsidRDefault="00000000" w:rsidRPr="00000000" w14:paraId="00000015">
            <w:pPr>
              <w:spacing w:after="0" w:before="0" w:line="240" w:lineRule="auto"/>
              <w:rPr>
                <w:sz w:val="20"/>
                <w:szCs w:val="20"/>
              </w:rPr>
            </w:pPr>
            <w:r w:rsidDel="00000000" w:rsidR="00000000" w:rsidRPr="00000000">
              <w:rPr>
                <w:sz w:val="20"/>
                <w:szCs w:val="20"/>
                <w:rtl w:val="0"/>
              </w:rPr>
              <w:t xml:space="preserve">10.05-10.15</w:t>
            </w:r>
          </w:p>
          <w:p w:rsidR="00000000" w:rsidDel="00000000" w:rsidP="00000000" w:rsidRDefault="00000000" w:rsidRPr="00000000" w14:paraId="00000016">
            <w:pPr>
              <w:spacing w:after="0" w:before="0" w:line="240" w:lineRule="auto"/>
              <w:rPr>
                <w:sz w:val="20"/>
                <w:szCs w:val="20"/>
              </w:rPr>
            </w:pPr>
            <w:r w:rsidDel="00000000" w:rsidR="00000000" w:rsidRPr="00000000">
              <w:rPr>
                <w:rtl w:val="0"/>
              </w:rPr>
            </w:r>
          </w:p>
          <w:p w:rsidR="00000000" w:rsidDel="00000000" w:rsidP="00000000" w:rsidRDefault="00000000" w:rsidRPr="00000000" w14:paraId="00000017">
            <w:pPr>
              <w:spacing w:after="0" w:before="0" w:line="240" w:lineRule="auto"/>
              <w:rPr>
                <w:b w:val="1"/>
                <w:sz w:val="20"/>
                <w:szCs w:val="20"/>
              </w:rPr>
            </w:pPr>
            <w:r w:rsidDel="00000000" w:rsidR="00000000" w:rsidRPr="00000000">
              <w:rPr>
                <w:b w:val="1"/>
                <w:sz w:val="20"/>
                <w:szCs w:val="20"/>
                <w:rtl w:val="0"/>
              </w:rPr>
              <w:t xml:space="preserve">10.15-10.30</w:t>
            </w:r>
          </w:p>
          <w:p w:rsidR="00000000" w:rsidDel="00000000" w:rsidP="00000000" w:rsidRDefault="00000000" w:rsidRPr="00000000" w14:paraId="00000018">
            <w:pPr>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19">
            <w:pPr>
              <w:spacing w:after="0" w:before="0" w:line="240" w:lineRule="auto"/>
              <w:rPr>
                <w:sz w:val="20"/>
                <w:szCs w:val="20"/>
              </w:rPr>
            </w:pPr>
            <w:r w:rsidDel="00000000" w:rsidR="00000000" w:rsidRPr="00000000">
              <w:rPr>
                <w:sz w:val="20"/>
                <w:szCs w:val="20"/>
                <w:rtl w:val="0"/>
              </w:rPr>
              <w:t xml:space="preserve">10.30-10.50</w:t>
            </w:r>
          </w:p>
          <w:p w:rsidR="00000000" w:rsidDel="00000000" w:rsidP="00000000" w:rsidRDefault="00000000" w:rsidRPr="00000000" w14:paraId="0000001A">
            <w:pPr>
              <w:spacing w:after="0" w:before="0" w:line="240" w:lineRule="auto"/>
              <w:rPr>
                <w:sz w:val="20"/>
                <w:szCs w:val="20"/>
              </w:rPr>
            </w:pPr>
            <w:r w:rsidDel="00000000" w:rsidR="00000000" w:rsidRPr="00000000">
              <w:rPr>
                <w:rtl w:val="0"/>
              </w:rPr>
            </w:r>
          </w:p>
          <w:p w:rsidR="00000000" w:rsidDel="00000000" w:rsidP="00000000" w:rsidRDefault="00000000" w:rsidRPr="00000000" w14:paraId="0000001B">
            <w:pPr>
              <w:spacing w:after="0" w:before="0" w:line="240" w:lineRule="auto"/>
              <w:rPr>
                <w:sz w:val="20"/>
                <w:szCs w:val="20"/>
              </w:rPr>
            </w:pPr>
            <w:r w:rsidDel="00000000" w:rsidR="00000000" w:rsidRPr="00000000">
              <w:rPr>
                <w:sz w:val="20"/>
                <w:szCs w:val="20"/>
                <w:rtl w:val="0"/>
              </w:rPr>
              <w:t xml:space="preserve">10.50-10.55</w:t>
            </w:r>
          </w:p>
          <w:p w:rsidR="00000000" w:rsidDel="00000000" w:rsidP="00000000" w:rsidRDefault="00000000" w:rsidRPr="00000000" w14:paraId="0000001C">
            <w:pPr>
              <w:spacing w:after="0" w:before="0" w:line="240" w:lineRule="auto"/>
              <w:rPr>
                <w:sz w:val="20"/>
                <w:szCs w:val="20"/>
              </w:rPr>
            </w:pPr>
            <w:r w:rsidDel="00000000" w:rsidR="00000000" w:rsidRPr="00000000">
              <w:rPr>
                <w:sz w:val="20"/>
                <w:szCs w:val="20"/>
                <w:rtl w:val="0"/>
              </w:rPr>
              <w:t xml:space="preserve">10.55-11.05</w:t>
            </w:r>
          </w:p>
          <w:p w:rsidR="00000000" w:rsidDel="00000000" w:rsidP="00000000" w:rsidRDefault="00000000" w:rsidRPr="00000000" w14:paraId="0000001D">
            <w:pPr>
              <w:spacing w:after="0" w:before="0" w:line="240" w:lineRule="auto"/>
              <w:rPr>
                <w:sz w:val="20"/>
                <w:szCs w:val="20"/>
              </w:rPr>
            </w:pPr>
            <w:r w:rsidDel="00000000" w:rsidR="00000000" w:rsidRPr="00000000">
              <w:rPr>
                <w:rtl w:val="0"/>
              </w:rPr>
            </w:r>
          </w:p>
          <w:p w:rsidR="00000000" w:rsidDel="00000000" w:rsidP="00000000" w:rsidRDefault="00000000" w:rsidRPr="00000000" w14:paraId="0000001E">
            <w:pPr>
              <w:spacing w:after="0" w:before="0" w:line="240" w:lineRule="auto"/>
              <w:rPr>
                <w:sz w:val="20"/>
                <w:szCs w:val="20"/>
              </w:rPr>
            </w:pPr>
            <w:r w:rsidDel="00000000" w:rsidR="00000000" w:rsidRPr="00000000">
              <w:rPr>
                <w:sz w:val="20"/>
                <w:szCs w:val="20"/>
                <w:rtl w:val="0"/>
              </w:rPr>
              <w:t xml:space="preserve">11.05-11.25</w:t>
            </w:r>
          </w:p>
          <w:p w:rsidR="00000000" w:rsidDel="00000000" w:rsidP="00000000" w:rsidRDefault="00000000" w:rsidRPr="00000000" w14:paraId="0000001F">
            <w:pPr>
              <w:spacing w:after="0" w:before="0" w:line="240" w:lineRule="auto"/>
              <w:rPr>
                <w:sz w:val="20"/>
                <w:szCs w:val="20"/>
              </w:rPr>
            </w:pPr>
            <w:r w:rsidDel="00000000" w:rsidR="00000000" w:rsidRPr="00000000">
              <w:rPr>
                <w:sz w:val="20"/>
                <w:szCs w:val="20"/>
                <w:rtl w:val="0"/>
              </w:rPr>
              <w:t xml:space="preserve">11.25-11.30</w:t>
            </w:r>
          </w:p>
          <w:p w:rsidR="00000000" w:rsidDel="00000000" w:rsidP="00000000" w:rsidRDefault="00000000" w:rsidRPr="00000000" w14:paraId="00000020">
            <w:pPr>
              <w:spacing w:after="0" w:before="0" w:line="240" w:lineRule="auto"/>
              <w:rPr>
                <w:b w:val="1"/>
                <w:sz w:val="20"/>
                <w:szCs w:val="20"/>
              </w:rPr>
            </w:pPr>
            <w:r w:rsidDel="00000000" w:rsidR="00000000" w:rsidRPr="00000000">
              <w:rPr>
                <w:sz w:val="20"/>
                <w:szCs w:val="20"/>
                <w:rtl w:val="0"/>
              </w:rPr>
              <w:t xml:space="preserve">11.30-11.40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1">
            <w:pPr>
              <w:rPr>
                <w:sz w:val="20"/>
                <w:szCs w:val="20"/>
              </w:rPr>
            </w:pPr>
            <w:r w:rsidDel="00000000" w:rsidR="00000000" w:rsidRPr="00000000">
              <w:rPr>
                <w:sz w:val="20"/>
                <w:szCs w:val="20"/>
                <w:rtl w:val="0"/>
              </w:rPr>
              <w:t xml:space="preserve">Policy talk: Sheila Kamunyori (Senior Urban Specialist, GPURL - World Bank, Rwanda office): “</w:t>
            </w:r>
            <w:hyperlink r:id="rId7">
              <w:r w:rsidDel="00000000" w:rsidR="00000000" w:rsidRPr="00000000">
                <w:rPr>
                  <w:i w:val="1"/>
                  <w:color w:val="1155cc"/>
                  <w:sz w:val="20"/>
                  <w:szCs w:val="20"/>
                  <w:u w:val="single"/>
                  <w:rtl w:val="0"/>
                </w:rPr>
                <w:t xml:space="preserve">Reconsidering Sites and Services</w:t>
              </w:r>
            </w:hyperlink>
            <w:r w:rsidDel="00000000" w:rsidR="00000000" w:rsidRPr="00000000">
              <w:rPr>
                <w:sz w:val="20"/>
                <w:szCs w:val="20"/>
                <w:rtl w:val="0"/>
              </w:rPr>
              <w:t xml:space="preserve">” </w:t>
            </w:r>
            <w:r w:rsidDel="00000000" w:rsidR="00000000" w:rsidRPr="00000000">
              <w:rPr>
                <w:b w:val="1"/>
                <w:sz w:val="20"/>
                <w:szCs w:val="20"/>
                <w:rtl w:val="0"/>
              </w:rPr>
              <w:t xml:space="preserve">VIRTUAL</w:t>
            </w:r>
            <w:r w:rsidDel="00000000" w:rsidR="00000000" w:rsidRPr="00000000">
              <w:rPr>
                <w:rtl w:val="0"/>
              </w:rPr>
            </w:r>
          </w:p>
          <w:p w:rsidR="00000000" w:rsidDel="00000000" w:rsidP="00000000" w:rsidRDefault="00000000" w:rsidRPr="00000000" w14:paraId="00000022">
            <w:pPr>
              <w:spacing w:line="240" w:lineRule="auto"/>
              <w:rPr>
                <w:sz w:val="20"/>
                <w:szCs w:val="20"/>
              </w:rPr>
            </w:pPr>
            <w:r w:rsidDel="00000000" w:rsidR="00000000" w:rsidRPr="00000000">
              <w:rPr>
                <w:sz w:val="20"/>
                <w:szCs w:val="20"/>
                <w:rtl w:val="0"/>
              </w:rPr>
              <w:t xml:space="preserve">Discussant: Vernon Henderson (LSE) </w:t>
            </w:r>
            <w:r w:rsidDel="00000000" w:rsidR="00000000" w:rsidRPr="00000000">
              <w:rPr>
                <w:b w:val="1"/>
                <w:sz w:val="20"/>
                <w:szCs w:val="20"/>
                <w:rtl w:val="0"/>
              </w:rPr>
              <w:t xml:space="preserve">VIRTUAL </w:t>
            </w:r>
            <w:r w:rsidDel="00000000" w:rsidR="00000000" w:rsidRPr="00000000">
              <w:rPr>
                <w:rtl w:val="0"/>
              </w:rPr>
            </w:r>
          </w:p>
          <w:p w:rsidR="00000000" w:rsidDel="00000000" w:rsidP="00000000" w:rsidRDefault="00000000" w:rsidRPr="00000000" w14:paraId="00000023">
            <w:pPr>
              <w:spacing w:line="240" w:lineRule="auto"/>
              <w:rPr>
                <w:sz w:val="20"/>
                <w:szCs w:val="20"/>
              </w:rPr>
            </w:pPr>
            <w:r w:rsidDel="00000000" w:rsidR="00000000" w:rsidRPr="00000000">
              <w:rPr>
                <w:sz w:val="20"/>
                <w:szCs w:val="20"/>
                <w:rtl w:val="0"/>
              </w:rPr>
              <w:t xml:space="preserve">Q&amp;A</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b w:val="1"/>
                <w:sz w:val="20"/>
                <w:szCs w:val="20"/>
              </w:rPr>
            </w:pPr>
            <w:r w:rsidDel="00000000" w:rsidR="00000000" w:rsidRPr="00000000">
              <w:rPr>
                <w:sz w:val="20"/>
                <w:szCs w:val="20"/>
                <w:rtl w:val="0"/>
              </w:rPr>
              <w:t xml:space="preserve">Academic talk: Martina Manara (Sheffield/UCL): “</w:t>
            </w:r>
            <w:r w:rsidDel="00000000" w:rsidR="00000000" w:rsidRPr="00000000">
              <w:rPr>
                <w:i w:val="1"/>
                <w:sz w:val="20"/>
                <w:szCs w:val="20"/>
                <w:rtl w:val="0"/>
              </w:rPr>
              <w:t xml:space="preserve">Evaluating urban planning: evidence from Dar es Salaam</w:t>
            </w:r>
            <w:r w:rsidDel="00000000" w:rsidR="00000000" w:rsidRPr="00000000">
              <w:rPr>
                <w:sz w:val="20"/>
                <w:szCs w:val="20"/>
                <w:rtl w:val="0"/>
              </w:rPr>
              <w:t xml:space="preserve">”</w:t>
            </w:r>
            <w:r w:rsidDel="00000000" w:rsidR="00000000" w:rsidRPr="00000000">
              <w:rPr>
                <w:b w:val="1"/>
                <w:sz w:val="20"/>
                <w:szCs w:val="20"/>
                <w:rtl w:val="0"/>
              </w:rPr>
              <w:t xml:space="preserve"> IN-PERSON</w:t>
            </w:r>
          </w:p>
          <w:p w:rsidR="00000000" w:rsidDel="00000000" w:rsidP="00000000" w:rsidRDefault="00000000" w:rsidRPr="00000000" w14:paraId="00000026">
            <w:pPr>
              <w:rPr>
                <w:sz w:val="20"/>
                <w:szCs w:val="20"/>
              </w:rPr>
            </w:pPr>
            <w:r w:rsidDel="00000000" w:rsidR="00000000" w:rsidRPr="00000000">
              <w:rPr>
                <w:sz w:val="20"/>
                <w:szCs w:val="20"/>
                <w:rtl w:val="0"/>
              </w:rPr>
              <w:t xml:space="preserve">Discussant: David Mason (Urban Specialist, GPURL - World Bank, Tanzania office)</w:t>
            </w:r>
            <w:r w:rsidDel="00000000" w:rsidR="00000000" w:rsidRPr="00000000">
              <w:rPr>
                <w:b w:val="1"/>
                <w:color w:val="ff0000"/>
                <w:sz w:val="20"/>
                <w:szCs w:val="20"/>
                <w:rtl w:val="0"/>
              </w:rPr>
              <w:t xml:space="preserve"> </w:t>
            </w:r>
            <w:r w:rsidDel="00000000" w:rsidR="00000000" w:rsidRPr="00000000">
              <w:rPr>
                <w:b w:val="1"/>
                <w:sz w:val="20"/>
                <w:szCs w:val="20"/>
                <w:rtl w:val="0"/>
              </w:rPr>
              <w:t xml:space="preserve">VIDEO</w:t>
            </w:r>
            <w:r w:rsidDel="00000000" w:rsidR="00000000" w:rsidRPr="00000000">
              <w:rPr>
                <w:rtl w:val="0"/>
              </w:rPr>
            </w:r>
          </w:p>
          <w:p w:rsidR="00000000" w:rsidDel="00000000" w:rsidP="00000000" w:rsidRDefault="00000000" w:rsidRPr="00000000" w14:paraId="00000027">
            <w:pPr>
              <w:rPr>
                <w:b w:val="1"/>
                <w:sz w:val="20"/>
                <w:szCs w:val="20"/>
              </w:rPr>
            </w:pPr>
            <w:r w:rsidDel="00000000" w:rsidR="00000000" w:rsidRPr="00000000">
              <w:rPr>
                <w:sz w:val="20"/>
                <w:szCs w:val="20"/>
                <w:rtl w:val="0"/>
              </w:rPr>
              <w:t xml:space="preserve">Q&amp;A</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Coffee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Academic talk: Geetika Nagpal (Brown): “</w:t>
            </w:r>
            <w:hyperlink r:id="rId8">
              <w:r w:rsidDel="00000000" w:rsidR="00000000" w:rsidRPr="00000000">
                <w:rPr>
                  <w:i w:val="1"/>
                  <w:color w:val="1155cc"/>
                  <w:sz w:val="20"/>
                  <w:szCs w:val="20"/>
                  <w:u w:val="single"/>
                  <w:rtl w:val="0"/>
                </w:rPr>
                <w:t xml:space="preserve">Scaling Heights: Affordability Implications of Zoning Deregulation in India</w:t>
              </w:r>
            </w:hyperlink>
            <w:r w:rsidDel="00000000" w:rsidR="00000000" w:rsidRPr="00000000">
              <w:rPr>
                <w:sz w:val="20"/>
                <w:szCs w:val="20"/>
                <w:rtl w:val="0"/>
              </w:rPr>
              <w:t xml:space="preserve">” </w:t>
            </w:r>
            <w:r w:rsidDel="00000000" w:rsidR="00000000" w:rsidRPr="00000000">
              <w:rPr>
                <w:b w:val="1"/>
                <w:sz w:val="20"/>
                <w:szCs w:val="20"/>
                <w:rtl w:val="0"/>
              </w:rPr>
              <w:t xml:space="preserve">IN-PERSON</w:t>
            </w: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Discussant: Horacio Terraza (Lead Urban Specialist, GPURL - World Bank) </w:t>
            </w:r>
            <w:r w:rsidDel="00000000" w:rsidR="00000000" w:rsidRPr="00000000">
              <w:rPr>
                <w:b w:val="1"/>
                <w:sz w:val="20"/>
                <w:szCs w:val="20"/>
                <w:rtl w:val="0"/>
              </w:rPr>
              <w:t xml:space="preserve">IN-PERSON</w:t>
            </w: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Q&amp;A</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b w:val="1"/>
                <w:sz w:val="20"/>
                <w:szCs w:val="20"/>
              </w:rPr>
            </w:pPr>
            <w:r w:rsidDel="00000000" w:rsidR="00000000" w:rsidRPr="00000000">
              <w:rPr>
                <w:sz w:val="20"/>
                <w:szCs w:val="20"/>
                <w:rtl w:val="0"/>
              </w:rPr>
              <w:t xml:space="preserve">Policy talk: Dao Harrison (Senior Housing Specialist, GPURL - World Bank, Singapore) </w:t>
            </w:r>
            <w:r w:rsidDel="00000000" w:rsidR="00000000" w:rsidRPr="00000000">
              <w:rPr>
                <w:b w:val="1"/>
                <w:sz w:val="20"/>
                <w:szCs w:val="20"/>
                <w:rtl w:val="0"/>
              </w:rPr>
              <w:t xml:space="preserve">VIRTUAL </w:t>
            </w:r>
          </w:p>
          <w:p w:rsidR="00000000" w:rsidDel="00000000" w:rsidP="00000000" w:rsidRDefault="00000000" w:rsidRPr="00000000" w14:paraId="00000030">
            <w:pPr>
              <w:rPr>
                <w:sz w:val="20"/>
                <w:szCs w:val="20"/>
              </w:rPr>
            </w:pPr>
            <w:r w:rsidDel="00000000" w:rsidR="00000000" w:rsidRPr="00000000">
              <w:rPr>
                <w:sz w:val="20"/>
                <w:szCs w:val="20"/>
                <w:rtl w:val="0"/>
              </w:rPr>
              <w:t xml:space="preserve">Discussant: Stephen Malpezzi (Wisconsin–Madison) </w:t>
            </w:r>
            <w:r w:rsidDel="00000000" w:rsidR="00000000" w:rsidRPr="00000000">
              <w:rPr>
                <w:b w:val="1"/>
                <w:sz w:val="20"/>
                <w:szCs w:val="20"/>
                <w:rtl w:val="0"/>
              </w:rPr>
              <w:t xml:space="preserve">VIRTUAL </w:t>
            </w: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rtl w:val="0"/>
              </w:rPr>
              <w:t xml:space="preserve">Q&amp;A</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2">
            <w:pPr>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3">
            <w:pPr>
              <w:spacing w:line="240" w:lineRule="auto"/>
              <w:rPr>
                <w:b w:val="1"/>
                <w:sz w:val="20"/>
                <w:szCs w:val="20"/>
              </w:rPr>
            </w:pPr>
            <w:r w:rsidDel="00000000" w:rsidR="00000000" w:rsidRPr="00000000">
              <w:rPr>
                <w:b w:val="1"/>
                <w:sz w:val="20"/>
                <w:szCs w:val="20"/>
                <w:rtl w:val="0"/>
              </w:rPr>
              <w:t xml:space="preserve">Keynote session</w:t>
            </w:r>
          </w:p>
          <w:p w:rsidR="00000000" w:rsidDel="00000000" w:rsidP="00000000" w:rsidRDefault="00000000" w:rsidRPr="00000000" w14:paraId="00000034">
            <w:pPr>
              <w:spacing w:line="240" w:lineRule="auto"/>
              <w:rPr>
                <w:b w:val="1"/>
                <w:sz w:val="20"/>
                <w:szCs w:val="20"/>
              </w:rPr>
            </w:pPr>
            <w:r w:rsidDel="00000000" w:rsidR="00000000" w:rsidRPr="00000000">
              <w:rPr>
                <w:sz w:val="20"/>
                <w:szCs w:val="20"/>
                <w:rtl w:val="0"/>
              </w:rPr>
              <w:t xml:space="preserve">Chair: Angelica Nunez (</w:t>
            </w:r>
            <w:r w:rsidDel="00000000" w:rsidR="00000000" w:rsidRPr="00000000">
              <w:rPr>
                <w:sz w:val="20"/>
                <w:szCs w:val="20"/>
                <w:rtl w:val="0"/>
              </w:rPr>
              <w:t xml:space="preserve">Manager, Global Programs Unit, GPURL - World Bank</w:t>
            </w:r>
            <w:r w:rsidDel="00000000" w:rsidR="00000000" w:rsidRPr="00000000">
              <w:rPr>
                <w:sz w:val="20"/>
                <w:szCs w:val="20"/>
                <w:rtl w:val="0"/>
              </w:rPr>
              <w:t xml:space="preserve">)</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5">
            <w:pPr>
              <w:spacing w:line="240" w:lineRule="auto"/>
              <w:rPr>
                <w:sz w:val="20"/>
                <w:szCs w:val="20"/>
              </w:rPr>
            </w:pPr>
            <w:r w:rsidDel="00000000" w:rsidR="00000000" w:rsidRPr="00000000">
              <w:rPr>
                <w:sz w:val="20"/>
                <w:szCs w:val="20"/>
                <w:rtl w:val="0"/>
              </w:rPr>
              <w:t xml:space="preserve">11.40-12.10</w:t>
            </w:r>
          </w:p>
          <w:p w:rsidR="00000000" w:rsidDel="00000000" w:rsidP="00000000" w:rsidRDefault="00000000" w:rsidRPr="00000000" w14:paraId="00000036">
            <w:pPr>
              <w:spacing w:line="240" w:lineRule="auto"/>
              <w:rPr>
                <w:sz w:val="20"/>
                <w:szCs w:val="20"/>
              </w:rPr>
            </w:pPr>
            <w:r w:rsidDel="00000000" w:rsidR="00000000" w:rsidRPr="00000000">
              <w:rPr>
                <w:sz w:val="20"/>
                <w:szCs w:val="20"/>
                <w:rtl w:val="0"/>
              </w:rPr>
              <w:t xml:space="preserve">12:10-12.25</w:t>
            </w:r>
          </w:p>
          <w:p w:rsidR="00000000" w:rsidDel="00000000" w:rsidP="00000000" w:rsidRDefault="00000000" w:rsidRPr="00000000" w14:paraId="00000037">
            <w:pPr>
              <w:spacing w:line="240" w:lineRule="auto"/>
              <w:rPr>
                <w:sz w:val="20"/>
                <w:szCs w:val="20"/>
              </w:rPr>
            </w:pPr>
            <w:r w:rsidDel="00000000" w:rsidR="00000000" w:rsidRPr="00000000">
              <w:rPr>
                <w:rtl w:val="0"/>
              </w:rPr>
            </w:r>
          </w:p>
          <w:p w:rsidR="00000000" w:rsidDel="00000000" w:rsidP="00000000" w:rsidRDefault="00000000" w:rsidRPr="00000000" w14:paraId="00000038">
            <w:pPr>
              <w:spacing w:line="240" w:lineRule="auto"/>
              <w:rPr>
                <w:sz w:val="20"/>
                <w:szCs w:val="20"/>
              </w:rPr>
            </w:pPr>
            <w:r w:rsidDel="00000000" w:rsidR="00000000" w:rsidRPr="00000000">
              <w:rPr>
                <w:sz w:val="20"/>
                <w:szCs w:val="20"/>
                <w:rtl w:val="0"/>
              </w:rPr>
              <w:t xml:space="preserve">12:25-12:30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9">
            <w:pPr>
              <w:spacing w:line="240" w:lineRule="auto"/>
              <w:rPr>
                <w:sz w:val="20"/>
                <w:szCs w:val="20"/>
              </w:rPr>
            </w:pPr>
            <w:r w:rsidDel="00000000" w:rsidR="00000000" w:rsidRPr="00000000">
              <w:rPr>
                <w:sz w:val="20"/>
                <w:szCs w:val="20"/>
                <w:rtl w:val="0"/>
              </w:rPr>
              <w:t xml:space="preserve">Fernando Ferriera</w:t>
            </w:r>
            <w:r w:rsidDel="00000000" w:rsidR="00000000" w:rsidRPr="00000000">
              <w:rPr>
                <w:sz w:val="20"/>
                <w:szCs w:val="20"/>
                <w:rtl w:val="0"/>
              </w:rPr>
              <w:t xml:space="preserve"> (Wharton)</w:t>
            </w:r>
            <w:r w:rsidDel="00000000" w:rsidR="00000000" w:rsidRPr="00000000">
              <w:rPr>
                <w:sz w:val="20"/>
                <w:szCs w:val="20"/>
                <w:rtl w:val="0"/>
              </w:rPr>
              <w:t xml:space="preserve"> </w:t>
            </w:r>
            <w:r w:rsidDel="00000000" w:rsidR="00000000" w:rsidRPr="00000000">
              <w:rPr>
                <w:sz w:val="20"/>
                <w:szCs w:val="20"/>
                <w:rtl w:val="0"/>
              </w:rPr>
              <w:t xml:space="preserve">“</w:t>
            </w:r>
            <w:r w:rsidDel="00000000" w:rsidR="00000000" w:rsidRPr="00000000">
              <w:rPr>
                <w:i w:val="1"/>
                <w:sz w:val="20"/>
                <w:szCs w:val="20"/>
                <w:rtl w:val="0"/>
              </w:rPr>
              <w:t xml:space="preserve">Zoning and land use regulation in Developing Countries</w:t>
            </w:r>
            <w:r w:rsidDel="00000000" w:rsidR="00000000" w:rsidRPr="00000000">
              <w:rPr>
                <w:sz w:val="20"/>
                <w:szCs w:val="20"/>
                <w:rtl w:val="0"/>
              </w:rPr>
              <w:t xml:space="preserve">”</w:t>
            </w:r>
          </w:p>
          <w:p w:rsidR="00000000" w:rsidDel="00000000" w:rsidP="00000000" w:rsidRDefault="00000000" w:rsidRPr="00000000" w14:paraId="0000003A">
            <w:pPr>
              <w:spacing w:line="240" w:lineRule="auto"/>
              <w:rPr>
                <w:sz w:val="20"/>
                <w:szCs w:val="20"/>
              </w:rPr>
            </w:pPr>
            <w:r w:rsidDel="00000000" w:rsidR="00000000" w:rsidRPr="00000000">
              <w:rPr>
                <w:sz w:val="20"/>
                <w:szCs w:val="20"/>
                <w:rtl w:val="0"/>
              </w:rPr>
              <w:t xml:space="preserve">Q&amp;A </w:t>
            </w:r>
            <w:r w:rsidDel="00000000" w:rsidR="00000000" w:rsidRPr="00000000">
              <w:rPr>
                <w:b w:val="1"/>
                <w:sz w:val="20"/>
                <w:szCs w:val="20"/>
                <w:rtl w:val="0"/>
              </w:rPr>
              <w:t xml:space="preserve">IN-PERSON</w:t>
            </w:r>
            <w:r w:rsidDel="00000000" w:rsidR="00000000" w:rsidRPr="00000000">
              <w:rPr>
                <w:rtl w:val="0"/>
              </w:rPr>
            </w:r>
          </w:p>
          <w:p w:rsidR="00000000" w:rsidDel="00000000" w:rsidP="00000000" w:rsidRDefault="00000000" w:rsidRPr="00000000" w14:paraId="0000003B">
            <w:pPr>
              <w:spacing w:line="240" w:lineRule="auto"/>
              <w:rPr>
                <w:sz w:val="20"/>
                <w:szCs w:val="20"/>
              </w:rPr>
            </w:pPr>
            <w:r w:rsidDel="00000000" w:rsidR="00000000" w:rsidRPr="00000000">
              <w:rPr>
                <w:rtl w:val="0"/>
              </w:rPr>
            </w:r>
          </w:p>
          <w:p w:rsidR="00000000" w:rsidDel="00000000" w:rsidP="00000000" w:rsidRDefault="00000000" w:rsidRPr="00000000" w14:paraId="0000003C">
            <w:pPr>
              <w:spacing w:line="240" w:lineRule="auto"/>
              <w:rPr>
                <w:sz w:val="20"/>
                <w:szCs w:val="20"/>
              </w:rPr>
            </w:pPr>
            <w:r w:rsidDel="00000000" w:rsidR="00000000" w:rsidRPr="00000000">
              <w:rPr>
                <w:sz w:val="20"/>
                <w:szCs w:val="20"/>
                <w:rtl w:val="0"/>
              </w:rPr>
              <w:t xml:space="preserve">Closing Remarks:</w:t>
            </w:r>
            <w:r w:rsidDel="00000000" w:rsidR="00000000" w:rsidRPr="00000000">
              <w:rPr>
                <w:b w:val="1"/>
                <w:sz w:val="20"/>
                <w:szCs w:val="20"/>
                <w:rtl w:val="0"/>
              </w:rPr>
              <w:t xml:space="preserve"> </w:t>
            </w:r>
            <w:r w:rsidDel="00000000" w:rsidR="00000000" w:rsidRPr="00000000">
              <w:rPr>
                <w:sz w:val="20"/>
                <w:szCs w:val="20"/>
                <w:rtl w:val="0"/>
              </w:rPr>
              <w:t xml:space="preserve">Remi Jedwab (GWU)</w:t>
            </w:r>
            <w:r w:rsidDel="00000000" w:rsidR="00000000" w:rsidRPr="00000000">
              <w:rPr>
                <w:rtl w:val="0"/>
              </w:rPr>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D">
            <w:pPr>
              <w:spacing w:line="240" w:lineRule="auto"/>
              <w:rPr>
                <w:b w:val="1"/>
                <w:sz w:val="20"/>
                <w:szCs w:val="20"/>
              </w:rPr>
            </w:pPr>
            <w:r w:rsidDel="00000000" w:rsidR="00000000" w:rsidRPr="00000000">
              <w:rPr>
                <w:b w:val="1"/>
                <w:sz w:val="20"/>
                <w:szCs w:val="20"/>
                <w:rtl w:val="0"/>
              </w:rPr>
              <w:t xml:space="preserve">From 12:30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E">
            <w:pPr>
              <w:spacing w:line="240" w:lineRule="auto"/>
              <w:rPr>
                <w:sz w:val="20"/>
                <w:szCs w:val="20"/>
              </w:rPr>
            </w:pPr>
            <w:r w:rsidDel="00000000" w:rsidR="00000000" w:rsidRPr="00000000">
              <w:rPr>
                <w:b w:val="1"/>
                <w:sz w:val="20"/>
                <w:szCs w:val="20"/>
                <w:rtl w:val="0"/>
              </w:rPr>
              <w:t xml:space="preserve">Lunch </w:t>
            </w:r>
            <w:r w:rsidDel="00000000" w:rsidR="00000000" w:rsidRPr="00000000">
              <w:rPr>
                <w:sz w:val="20"/>
                <w:szCs w:val="20"/>
                <w:rtl w:val="0"/>
              </w:rPr>
              <w:t xml:space="preserve">a</w:t>
            </w:r>
            <w:r w:rsidDel="00000000" w:rsidR="00000000" w:rsidRPr="00000000">
              <w:rPr>
                <w:sz w:val="20"/>
                <w:szCs w:val="20"/>
                <w:rtl w:val="0"/>
              </w:rPr>
              <w:t xml:space="preserve">t the World Bank (open to all)</w:t>
            </w:r>
          </w:p>
        </w:tc>
      </w:tr>
    </w:tbl>
    <w:p w:rsidR="00000000" w:rsidDel="00000000" w:rsidP="00000000" w:rsidRDefault="00000000" w:rsidRPr="00000000" w14:paraId="0000003F">
      <w:pPr>
        <w:rPr>
          <w:sz w:val="20"/>
          <w:szCs w:val="20"/>
        </w:rPr>
      </w:pPr>
      <w:r w:rsidDel="00000000" w:rsidR="00000000" w:rsidRPr="00000000">
        <w:rPr>
          <w:sz w:val="20"/>
          <w:szCs w:val="20"/>
        </w:rPr>
        <w:drawing>
          <wp:inline distB="0" distT="0" distL="0" distR="0">
            <wp:extent cx="5731510" cy="1000125"/>
            <wp:effectExtent b="0" l="0" r="0" t="0"/>
            <wp:docPr descr="Text&#10;&#10;Description automatically generated" id="5" name="image3.png"/>
            <a:graphic>
              <a:graphicData uri="http://schemas.openxmlformats.org/drawingml/2006/picture">
                <pic:pic>
                  <pic:nvPicPr>
                    <pic:cNvPr descr="Text&#10;&#10;Description automatically generated" id="0" name="image3.png"/>
                    <pic:cNvPicPr preferRelativeResize="0"/>
                  </pic:nvPicPr>
                  <pic:blipFill>
                    <a:blip r:embed="rId9"/>
                    <a:srcRect b="0" l="0" r="0" t="0"/>
                    <a:stretch>
                      <a:fillRect/>
                    </a:stretch>
                  </pic:blipFill>
                  <pic:spPr>
                    <a:xfrm>
                      <a:off x="0" y="0"/>
                      <a:ext cx="5731510" cy="1000125"/>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Pr>
        <w:drawing>
          <wp:inline distB="114300" distT="114300" distL="114300" distR="114300">
            <wp:extent cx="1619250" cy="624166"/>
            <wp:effectExtent b="0" l="0" r="0" t="0"/>
            <wp:docPr id="7" name="image1.png"/>
            <a:graphic>
              <a:graphicData uri="http://schemas.openxmlformats.org/drawingml/2006/picture">
                <pic:pic>
                  <pic:nvPicPr>
                    <pic:cNvPr id="0" name="image1.png"/>
                    <pic:cNvPicPr preferRelativeResize="0"/>
                  </pic:nvPicPr>
                  <pic:blipFill>
                    <a:blip r:embed="rId10"/>
                    <a:srcRect b="11142" l="71760" r="0" t="11763"/>
                    <a:stretch>
                      <a:fillRect/>
                    </a:stretch>
                  </pic:blipFill>
                  <pic:spPr>
                    <a:xfrm>
                      <a:off x="0" y="0"/>
                      <a:ext cx="1619250" cy="624166"/>
                    </a:xfrm>
                    <a:prstGeom prst="rect"/>
                    <a:ln/>
                  </pic:spPr>
                </pic:pic>
              </a:graphicData>
            </a:graphic>
          </wp:inline>
        </w:drawing>
      </w:r>
      <w:r w:rsidDel="00000000" w:rsidR="00000000" w:rsidRPr="00000000">
        <w:rPr>
          <w:sz w:val="20"/>
          <w:szCs w:val="20"/>
        </w:rPr>
        <w:drawing>
          <wp:inline distB="114300" distT="114300" distL="114300" distR="114300">
            <wp:extent cx="3862388" cy="692920"/>
            <wp:effectExtent b="0" l="0" r="0" t="0"/>
            <wp:docPr id="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862388" cy="692920"/>
                    </a:xfrm>
                    <a:prstGeom prst="rect"/>
                    <a:ln/>
                  </pic:spPr>
                </pic:pic>
              </a:graphicData>
            </a:graphic>
          </wp:inline>
        </w:draw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20C0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semiHidden w:val="1"/>
    <w:unhideWhenUsed w:val="1"/>
    <w:rsid w:val="003A2F7C"/>
    <w:rPr>
      <w:color w:val="0000ff"/>
      <w:u w:val="single"/>
    </w:rPr>
  </w:style>
  <w:style w:type="character" w:styleId="CommentReference">
    <w:name w:val="annotation reference"/>
    <w:basedOn w:val="DefaultParagraphFont"/>
    <w:uiPriority w:val="99"/>
    <w:semiHidden w:val="1"/>
    <w:unhideWhenUsed w:val="1"/>
    <w:rsid w:val="007E5A09"/>
    <w:rPr>
      <w:sz w:val="16"/>
      <w:szCs w:val="16"/>
    </w:rPr>
  </w:style>
  <w:style w:type="paragraph" w:styleId="CommentText">
    <w:name w:val="annotation text"/>
    <w:basedOn w:val="Normal"/>
    <w:link w:val="CommentTextChar"/>
    <w:uiPriority w:val="99"/>
    <w:unhideWhenUsed w:val="1"/>
    <w:rsid w:val="007E5A09"/>
    <w:pPr>
      <w:spacing w:line="240" w:lineRule="auto"/>
    </w:pPr>
    <w:rPr>
      <w:sz w:val="20"/>
      <w:szCs w:val="20"/>
    </w:rPr>
  </w:style>
  <w:style w:type="character" w:styleId="CommentTextChar" w:customStyle="1">
    <w:name w:val="Comment Text Char"/>
    <w:basedOn w:val="DefaultParagraphFont"/>
    <w:link w:val="CommentText"/>
    <w:uiPriority w:val="99"/>
    <w:rsid w:val="007E5A09"/>
    <w:rPr>
      <w:sz w:val="20"/>
      <w:szCs w:val="20"/>
    </w:rPr>
  </w:style>
  <w:style w:type="paragraph" w:styleId="CommentSubject">
    <w:name w:val="annotation subject"/>
    <w:basedOn w:val="CommentText"/>
    <w:next w:val="CommentText"/>
    <w:link w:val="CommentSubjectChar"/>
    <w:uiPriority w:val="99"/>
    <w:semiHidden w:val="1"/>
    <w:unhideWhenUsed w:val="1"/>
    <w:rsid w:val="007E5A09"/>
    <w:rPr>
      <w:b w:val="1"/>
      <w:bCs w:val="1"/>
    </w:rPr>
  </w:style>
  <w:style w:type="character" w:styleId="CommentSubjectChar" w:customStyle="1">
    <w:name w:val="Comment Subject Char"/>
    <w:basedOn w:val="CommentTextChar"/>
    <w:link w:val="CommentSubject"/>
    <w:uiPriority w:val="99"/>
    <w:semiHidden w:val="1"/>
    <w:rsid w:val="007E5A09"/>
    <w:rPr>
      <w:b w:val="1"/>
      <w:bCs w:val="1"/>
      <w:sz w:val="20"/>
      <w:szCs w:val="20"/>
    </w:rPr>
  </w:style>
  <w:style w:type="paragraph" w:styleId="ListParagraph">
    <w:name w:val="List Paragraph"/>
    <w:basedOn w:val="Normal"/>
    <w:uiPriority w:val="34"/>
    <w:qFormat w:val="1"/>
    <w:rsid w:val="00F03BB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penknowledge.worldbank.org/entities/publication/86cf18fb-ae7a-5e79-8bb8-3d302747ff7f" TargetMode="External"/><Relationship Id="rId8" Type="http://schemas.openxmlformats.org/officeDocument/2006/relationships/hyperlink" Target="https://papers.geetika-nagpal.com/Nagpal_JM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WaYjT6ZN5nMP16aBbGvnTu3oUA==">CgMxLjA4AGokChRzdWdnZXN0Lmo1ZTNyNjE5anRqORIMVGFubmVyIFJlZ2FuaiQKFHN1Z2dlc3Qubzk3cG5sN2NyamlsEgxUYW5uZXIgUmVnYW5yITFrVWFsUUlPZGk3TkNLdWJnSjhhNm5ibUhKenR5VmpkdQ==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2022-08-15T17:43:00Z</dcterms:created>
  <dc:creator>Tanner Regan</dc:creator>
</cp:coreProperties>
</file>